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FA3BA" w14:textId="77777777" w:rsidR="00543F33" w:rsidRPr="0083131E" w:rsidRDefault="00543F33" w:rsidP="00543F33">
      <w:pPr>
        <w:pStyle w:val="Header"/>
        <w:jc w:val="center"/>
        <w:rPr>
          <w:rFonts w:cs="Arial"/>
          <w:sz w:val="48"/>
          <w:szCs w:val="48"/>
        </w:rPr>
      </w:pPr>
      <w:r w:rsidRPr="0083131E">
        <w:rPr>
          <w:rFonts w:cs="Arial"/>
          <w:noProof/>
          <w:sz w:val="48"/>
          <w:szCs w:val="48"/>
        </w:rPr>
        <w:drawing>
          <wp:inline distT="0" distB="0" distL="0" distR="0" wp14:anchorId="2A50DEE8" wp14:editId="7B84441E">
            <wp:extent cx="1514475" cy="121920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14475" cy="1219200"/>
                    </a:xfrm>
                    <a:prstGeom prst="rect">
                      <a:avLst/>
                    </a:prstGeom>
                  </pic:spPr>
                </pic:pic>
              </a:graphicData>
            </a:graphic>
          </wp:inline>
        </w:drawing>
      </w:r>
    </w:p>
    <w:p w14:paraId="2E334090" w14:textId="77777777" w:rsidR="00714538" w:rsidRPr="0083131E" w:rsidRDefault="00714538" w:rsidP="00714538">
      <w:pPr>
        <w:pStyle w:val="Header"/>
        <w:rPr>
          <w:rFonts w:cs="Arial"/>
          <w:sz w:val="48"/>
          <w:szCs w:val="48"/>
        </w:rPr>
      </w:pPr>
    </w:p>
    <w:p w14:paraId="44451C06" w14:textId="483B6877" w:rsidR="00543F33" w:rsidRPr="0083131E" w:rsidRDefault="00543F33" w:rsidP="00714538">
      <w:pPr>
        <w:pStyle w:val="Header"/>
        <w:jc w:val="center"/>
        <w:rPr>
          <w:rFonts w:cs="Arial"/>
          <w:sz w:val="48"/>
          <w:szCs w:val="48"/>
        </w:rPr>
      </w:pPr>
      <w:r w:rsidRPr="0083131E">
        <w:rPr>
          <w:rFonts w:cs="Arial"/>
          <w:sz w:val="48"/>
          <w:szCs w:val="48"/>
        </w:rPr>
        <w:t>Strategy 2030:</w:t>
      </w:r>
      <w:r w:rsidRPr="0083131E">
        <w:rPr>
          <w:rFonts w:cs="Arial"/>
          <w:sz w:val="48"/>
          <w:szCs w:val="48"/>
        </w:rPr>
        <w:br/>
      </w:r>
      <w:r w:rsidR="0083131E" w:rsidRPr="0083131E">
        <w:rPr>
          <w:rFonts w:cs="Arial"/>
          <w:sz w:val="48"/>
          <w:szCs w:val="48"/>
        </w:rPr>
        <w:t>Student Experience</w:t>
      </w:r>
      <w:r w:rsidRPr="0083131E">
        <w:rPr>
          <w:rFonts w:cs="Arial"/>
          <w:sz w:val="48"/>
          <w:szCs w:val="48"/>
        </w:rPr>
        <w:t xml:space="preserve"> Strategy</w:t>
      </w:r>
    </w:p>
    <w:p w14:paraId="0D24C095" w14:textId="77777777" w:rsidR="002A70BA" w:rsidRPr="0083131E" w:rsidRDefault="002A70BA">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547"/>
        <w:gridCol w:w="5003"/>
        <w:gridCol w:w="905"/>
        <w:gridCol w:w="1173"/>
      </w:tblGrid>
      <w:tr w:rsidR="005608BE" w:rsidRPr="0083131E" w14:paraId="6FA4D1C1" w14:textId="77777777" w:rsidTr="00D44348">
        <w:tc>
          <w:tcPr>
            <w:tcW w:w="9628" w:type="dxa"/>
            <w:gridSpan w:val="4"/>
            <w:tcBorders>
              <w:bottom w:val="single" w:sz="4" w:space="0" w:color="auto"/>
            </w:tcBorders>
            <w:shd w:val="clear" w:color="auto" w:fill="000000" w:themeFill="text1"/>
            <w:vAlign w:val="center"/>
          </w:tcPr>
          <w:p w14:paraId="7B045103" w14:textId="494969AD" w:rsidR="005608BE" w:rsidRPr="0083131E" w:rsidRDefault="005608BE" w:rsidP="002C25FF">
            <w:pPr>
              <w:pStyle w:val="ListParagraph"/>
              <w:numPr>
                <w:ilvl w:val="0"/>
                <w:numId w:val="2"/>
              </w:numPr>
              <w:spacing w:after="120"/>
              <w:rPr>
                <w:rFonts w:cs="Arial"/>
                <w:b/>
                <w:sz w:val="20"/>
                <w:szCs w:val="20"/>
                <w:u w:val="single"/>
              </w:rPr>
            </w:pPr>
            <w:r w:rsidRPr="0083131E">
              <w:rPr>
                <w:rFonts w:cs="Arial"/>
                <w:b/>
                <w:bCs/>
                <w:sz w:val="20"/>
                <w:szCs w:val="20"/>
              </w:rPr>
              <w:t>Alignment to Strategy 2030</w:t>
            </w:r>
          </w:p>
        </w:tc>
      </w:tr>
      <w:tr w:rsidR="00D42E0C" w:rsidRPr="0083131E" w14:paraId="7ADF883A" w14:textId="77777777" w:rsidTr="00487760">
        <w:tc>
          <w:tcPr>
            <w:tcW w:w="7550" w:type="dxa"/>
            <w:gridSpan w:val="2"/>
            <w:shd w:val="clear" w:color="auto" w:fill="FFFFFF"/>
          </w:tcPr>
          <w:p w14:paraId="6758795C" w14:textId="77777777" w:rsidR="00D42E0C" w:rsidRPr="0083131E" w:rsidRDefault="00D42E0C" w:rsidP="00167719">
            <w:pPr>
              <w:jc w:val="both"/>
              <w:rPr>
                <w:rFonts w:cs="Arial"/>
                <w:sz w:val="20"/>
                <w:szCs w:val="20"/>
              </w:rPr>
            </w:pPr>
          </w:p>
        </w:tc>
        <w:tc>
          <w:tcPr>
            <w:tcW w:w="905" w:type="dxa"/>
            <w:shd w:val="clear" w:color="auto" w:fill="FFFFFF"/>
          </w:tcPr>
          <w:p w14:paraId="4834B7F5" w14:textId="1098ED2F" w:rsidR="00D42E0C" w:rsidRPr="0083131E" w:rsidRDefault="00D42E0C" w:rsidP="00167719">
            <w:pPr>
              <w:jc w:val="both"/>
              <w:rPr>
                <w:rFonts w:cs="Arial"/>
                <w:i/>
                <w:iCs/>
                <w:sz w:val="20"/>
                <w:szCs w:val="20"/>
              </w:rPr>
            </w:pPr>
            <w:r w:rsidRPr="0083131E">
              <w:rPr>
                <w:rFonts w:cs="Arial"/>
                <w:i/>
                <w:iCs/>
                <w:sz w:val="20"/>
                <w:szCs w:val="20"/>
              </w:rPr>
              <w:t>Primary</w:t>
            </w:r>
          </w:p>
        </w:tc>
        <w:tc>
          <w:tcPr>
            <w:tcW w:w="1173" w:type="dxa"/>
            <w:shd w:val="clear" w:color="auto" w:fill="FFFFFF"/>
          </w:tcPr>
          <w:p w14:paraId="2981FD4F" w14:textId="62F4D70D" w:rsidR="00D42E0C" w:rsidRPr="0083131E" w:rsidRDefault="00D42E0C" w:rsidP="00167719">
            <w:pPr>
              <w:jc w:val="both"/>
              <w:rPr>
                <w:rFonts w:cs="Arial"/>
                <w:i/>
                <w:iCs/>
                <w:sz w:val="20"/>
                <w:szCs w:val="20"/>
              </w:rPr>
            </w:pPr>
            <w:r w:rsidRPr="0083131E">
              <w:rPr>
                <w:rFonts w:cs="Arial"/>
                <w:i/>
                <w:iCs/>
                <w:sz w:val="20"/>
                <w:szCs w:val="20"/>
              </w:rPr>
              <w:t>Secondary</w:t>
            </w:r>
          </w:p>
        </w:tc>
      </w:tr>
      <w:tr w:rsidR="006C653D" w:rsidRPr="0083131E" w14:paraId="757BA7EA" w14:textId="77777777" w:rsidTr="00487760">
        <w:tc>
          <w:tcPr>
            <w:tcW w:w="2547" w:type="dxa"/>
            <w:vMerge w:val="restart"/>
            <w:shd w:val="clear" w:color="auto" w:fill="BFBFBF" w:themeFill="background1" w:themeFillShade="BF"/>
          </w:tcPr>
          <w:p w14:paraId="68AC7F2D" w14:textId="77777777" w:rsidR="00405A43" w:rsidRPr="0083131E" w:rsidRDefault="00405A43" w:rsidP="00167719">
            <w:pPr>
              <w:jc w:val="both"/>
              <w:rPr>
                <w:rFonts w:cs="Arial"/>
                <w:b/>
                <w:bCs/>
                <w:sz w:val="20"/>
                <w:szCs w:val="20"/>
              </w:rPr>
            </w:pPr>
            <w:r w:rsidRPr="0083131E">
              <w:rPr>
                <w:rFonts w:cs="Arial"/>
                <w:b/>
                <w:bCs/>
                <w:sz w:val="20"/>
                <w:szCs w:val="20"/>
              </w:rPr>
              <w:t xml:space="preserve">Strategic Pillars: </w:t>
            </w:r>
          </w:p>
          <w:p w14:paraId="098DBE32" w14:textId="5A3CEA22" w:rsidR="001930FA" w:rsidRPr="0083131E" w:rsidRDefault="001930FA" w:rsidP="00167719">
            <w:pPr>
              <w:jc w:val="both"/>
              <w:rPr>
                <w:rFonts w:cs="Arial"/>
                <w:b/>
                <w:bCs/>
                <w:sz w:val="20"/>
                <w:szCs w:val="20"/>
              </w:rPr>
            </w:pPr>
            <w:r w:rsidRPr="0083131E">
              <w:rPr>
                <w:rFonts w:cs="Arial"/>
                <w:b/>
                <w:bCs/>
                <w:sz w:val="20"/>
                <w:szCs w:val="20"/>
              </w:rPr>
              <w:t>Sustaining</w:t>
            </w:r>
          </w:p>
          <w:p w14:paraId="724B63E4" w14:textId="1DC64474" w:rsidR="001930FA" w:rsidRPr="0083131E" w:rsidRDefault="001930FA" w:rsidP="00167719">
            <w:pPr>
              <w:jc w:val="both"/>
              <w:rPr>
                <w:rFonts w:cs="Arial"/>
                <w:sz w:val="20"/>
                <w:szCs w:val="20"/>
              </w:rPr>
            </w:pPr>
            <w:r w:rsidRPr="0083131E">
              <w:rPr>
                <w:rFonts w:cs="Arial"/>
                <w:b/>
                <w:bCs/>
                <w:sz w:val="20"/>
                <w:szCs w:val="20"/>
              </w:rPr>
              <w:t>and progressing….</w:t>
            </w:r>
          </w:p>
        </w:tc>
        <w:tc>
          <w:tcPr>
            <w:tcW w:w="5003" w:type="dxa"/>
            <w:shd w:val="clear" w:color="auto" w:fill="FFFFFF"/>
          </w:tcPr>
          <w:p w14:paraId="51440BC7" w14:textId="1CB910F0" w:rsidR="00405A43" w:rsidRPr="0083131E" w:rsidRDefault="001930FA" w:rsidP="00167719">
            <w:pPr>
              <w:jc w:val="both"/>
              <w:rPr>
                <w:rFonts w:cs="Arial"/>
                <w:sz w:val="20"/>
                <w:szCs w:val="20"/>
              </w:rPr>
            </w:pPr>
            <w:r w:rsidRPr="0083131E">
              <w:rPr>
                <w:rFonts w:cs="Arial"/>
                <w:sz w:val="20"/>
                <w:szCs w:val="20"/>
              </w:rPr>
              <w:t>Research excellence</w:t>
            </w:r>
          </w:p>
        </w:tc>
        <w:tc>
          <w:tcPr>
            <w:tcW w:w="905" w:type="dxa"/>
            <w:shd w:val="clear" w:color="auto" w:fill="FFFFFF"/>
          </w:tcPr>
          <w:p w14:paraId="3A84A523" w14:textId="39736253" w:rsidR="00405A43" w:rsidRPr="0083131E" w:rsidRDefault="00405A43" w:rsidP="00122666">
            <w:pPr>
              <w:jc w:val="center"/>
              <w:rPr>
                <w:rFonts w:cs="Arial"/>
                <w:sz w:val="20"/>
                <w:szCs w:val="20"/>
              </w:rPr>
            </w:pPr>
          </w:p>
        </w:tc>
        <w:tc>
          <w:tcPr>
            <w:tcW w:w="1173" w:type="dxa"/>
            <w:shd w:val="clear" w:color="auto" w:fill="FFFFFF"/>
          </w:tcPr>
          <w:p w14:paraId="210FC816" w14:textId="3CB2149A" w:rsidR="00405A43" w:rsidRPr="0083131E" w:rsidRDefault="006118DB" w:rsidP="00122666">
            <w:pPr>
              <w:jc w:val="center"/>
              <w:rPr>
                <w:rFonts w:cs="Arial"/>
                <w:sz w:val="20"/>
                <w:szCs w:val="20"/>
              </w:rPr>
            </w:pPr>
            <w:r w:rsidRPr="0083131E">
              <w:rPr>
                <w:rFonts w:ascii="Wingdings" w:eastAsia="Wingdings" w:hAnsi="Wingdings" w:cs="Wingdings"/>
                <w:sz w:val="20"/>
                <w:szCs w:val="20"/>
              </w:rPr>
              <w:t>ü</w:t>
            </w:r>
          </w:p>
        </w:tc>
      </w:tr>
      <w:tr w:rsidR="006C653D" w:rsidRPr="0083131E" w14:paraId="14892BFD" w14:textId="77777777" w:rsidTr="00487760">
        <w:tc>
          <w:tcPr>
            <w:tcW w:w="2547" w:type="dxa"/>
            <w:vMerge/>
            <w:shd w:val="clear" w:color="auto" w:fill="BFBFBF" w:themeFill="background1" w:themeFillShade="BF"/>
          </w:tcPr>
          <w:p w14:paraId="2CA213B8" w14:textId="77777777" w:rsidR="00405A43" w:rsidRPr="0083131E" w:rsidRDefault="00405A43" w:rsidP="00167719">
            <w:pPr>
              <w:jc w:val="both"/>
              <w:rPr>
                <w:rFonts w:cs="Arial"/>
                <w:sz w:val="20"/>
                <w:szCs w:val="20"/>
              </w:rPr>
            </w:pPr>
          </w:p>
        </w:tc>
        <w:tc>
          <w:tcPr>
            <w:tcW w:w="5003" w:type="dxa"/>
            <w:shd w:val="clear" w:color="auto" w:fill="FFFFFF"/>
          </w:tcPr>
          <w:p w14:paraId="60DB47C4" w14:textId="5045B758" w:rsidR="00405A43" w:rsidRPr="0083131E" w:rsidRDefault="00D42E0C" w:rsidP="00167719">
            <w:pPr>
              <w:jc w:val="both"/>
              <w:rPr>
                <w:rFonts w:cs="Arial"/>
                <w:sz w:val="20"/>
                <w:szCs w:val="20"/>
              </w:rPr>
            </w:pPr>
            <w:r w:rsidRPr="0083131E">
              <w:rPr>
                <w:rFonts w:cs="Arial"/>
                <w:sz w:val="20"/>
                <w:szCs w:val="20"/>
              </w:rPr>
              <w:t>Transformative learning experiences</w:t>
            </w:r>
          </w:p>
        </w:tc>
        <w:tc>
          <w:tcPr>
            <w:tcW w:w="905" w:type="dxa"/>
            <w:shd w:val="clear" w:color="auto" w:fill="FFFFFF"/>
          </w:tcPr>
          <w:p w14:paraId="575D26CF" w14:textId="1A8FCB0B" w:rsidR="00405A43" w:rsidRPr="0083131E" w:rsidRDefault="003846CE" w:rsidP="00122666">
            <w:pPr>
              <w:jc w:val="center"/>
              <w:rPr>
                <w:rFonts w:cs="Arial"/>
                <w:sz w:val="20"/>
                <w:szCs w:val="20"/>
              </w:rPr>
            </w:pPr>
            <w:r w:rsidRPr="0083131E">
              <w:rPr>
                <w:rFonts w:ascii="Wingdings" w:eastAsia="Wingdings" w:hAnsi="Wingdings" w:cs="Wingdings"/>
                <w:sz w:val="20"/>
                <w:szCs w:val="20"/>
              </w:rPr>
              <w:t>ü</w:t>
            </w:r>
          </w:p>
        </w:tc>
        <w:tc>
          <w:tcPr>
            <w:tcW w:w="1173" w:type="dxa"/>
            <w:shd w:val="clear" w:color="auto" w:fill="FFFFFF"/>
          </w:tcPr>
          <w:p w14:paraId="0FE9B9CA" w14:textId="1A5792A9" w:rsidR="00405A43" w:rsidRPr="0083131E" w:rsidRDefault="00405A43" w:rsidP="00122666">
            <w:pPr>
              <w:jc w:val="center"/>
              <w:rPr>
                <w:rFonts w:cs="Arial"/>
                <w:sz w:val="20"/>
                <w:szCs w:val="20"/>
              </w:rPr>
            </w:pPr>
          </w:p>
        </w:tc>
      </w:tr>
      <w:tr w:rsidR="006C653D" w:rsidRPr="0083131E" w14:paraId="7AA8A357" w14:textId="77777777" w:rsidTr="00487760">
        <w:tc>
          <w:tcPr>
            <w:tcW w:w="2547" w:type="dxa"/>
            <w:vMerge/>
            <w:shd w:val="clear" w:color="auto" w:fill="BFBFBF" w:themeFill="background1" w:themeFillShade="BF"/>
          </w:tcPr>
          <w:p w14:paraId="7023C95A" w14:textId="77777777" w:rsidR="00405A43" w:rsidRPr="0083131E" w:rsidRDefault="00405A43" w:rsidP="00167719">
            <w:pPr>
              <w:jc w:val="both"/>
              <w:rPr>
                <w:rFonts w:cs="Arial"/>
                <w:sz w:val="20"/>
                <w:szCs w:val="20"/>
              </w:rPr>
            </w:pPr>
          </w:p>
        </w:tc>
        <w:tc>
          <w:tcPr>
            <w:tcW w:w="5003" w:type="dxa"/>
            <w:shd w:val="clear" w:color="auto" w:fill="FFFFFF"/>
          </w:tcPr>
          <w:p w14:paraId="27F078C2" w14:textId="22515E67" w:rsidR="00405A43" w:rsidRPr="0083131E" w:rsidRDefault="00D42E0C" w:rsidP="00167719">
            <w:pPr>
              <w:jc w:val="both"/>
              <w:rPr>
                <w:rFonts w:cs="Arial"/>
                <w:sz w:val="20"/>
                <w:szCs w:val="20"/>
              </w:rPr>
            </w:pPr>
            <w:r w:rsidRPr="0083131E">
              <w:rPr>
                <w:rFonts w:cs="Arial"/>
                <w:sz w:val="20"/>
                <w:szCs w:val="20"/>
              </w:rPr>
              <w:t>An excellent student experience</w:t>
            </w:r>
          </w:p>
        </w:tc>
        <w:tc>
          <w:tcPr>
            <w:tcW w:w="905" w:type="dxa"/>
            <w:shd w:val="clear" w:color="auto" w:fill="FFFFFF"/>
          </w:tcPr>
          <w:p w14:paraId="4F557614" w14:textId="0358A355" w:rsidR="00405A43" w:rsidRPr="0083131E" w:rsidRDefault="00C776D2" w:rsidP="00122666">
            <w:pPr>
              <w:jc w:val="center"/>
              <w:rPr>
                <w:rFonts w:cs="Arial"/>
                <w:sz w:val="20"/>
                <w:szCs w:val="20"/>
              </w:rPr>
            </w:pPr>
            <w:r w:rsidRPr="0083131E">
              <w:rPr>
                <w:rFonts w:ascii="Wingdings" w:eastAsia="Wingdings" w:hAnsi="Wingdings" w:cs="Wingdings"/>
                <w:sz w:val="20"/>
                <w:szCs w:val="20"/>
              </w:rPr>
              <w:t>ü</w:t>
            </w:r>
          </w:p>
        </w:tc>
        <w:tc>
          <w:tcPr>
            <w:tcW w:w="1173" w:type="dxa"/>
            <w:shd w:val="clear" w:color="auto" w:fill="FFFFFF"/>
          </w:tcPr>
          <w:p w14:paraId="6D6945D3" w14:textId="7A7EAEFE" w:rsidR="00405A43" w:rsidRPr="0083131E" w:rsidRDefault="00405A43" w:rsidP="00122666">
            <w:pPr>
              <w:jc w:val="center"/>
              <w:rPr>
                <w:rFonts w:cs="Arial"/>
                <w:sz w:val="20"/>
                <w:szCs w:val="20"/>
              </w:rPr>
            </w:pPr>
          </w:p>
        </w:tc>
      </w:tr>
      <w:tr w:rsidR="006C653D" w:rsidRPr="0083131E" w14:paraId="39913B28" w14:textId="77777777" w:rsidTr="00487760">
        <w:tc>
          <w:tcPr>
            <w:tcW w:w="2547" w:type="dxa"/>
            <w:vMerge/>
            <w:shd w:val="clear" w:color="auto" w:fill="BFBFBF" w:themeFill="background1" w:themeFillShade="BF"/>
          </w:tcPr>
          <w:p w14:paraId="42562C10" w14:textId="77777777" w:rsidR="00405A43" w:rsidRPr="0083131E" w:rsidRDefault="00405A43" w:rsidP="00167719">
            <w:pPr>
              <w:jc w:val="both"/>
              <w:rPr>
                <w:rFonts w:cs="Arial"/>
                <w:sz w:val="20"/>
                <w:szCs w:val="20"/>
              </w:rPr>
            </w:pPr>
          </w:p>
        </w:tc>
        <w:tc>
          <w:tcPr>
            <w:tcW w:w="5003" w:type="dxa"/>
            <w:shd w:val="clear" w:color="auto" w:fill="FFFFFF"/>
          </w:tcPr>
          <w:p w14:paraId="7EE52731" w14:textId="2D12E6F3" w:rsidR="00405A43" w:rsidRPr="0083131E" w:rsidRDefault="00D42E0C" w:rsidP="00167719">
            <w:pPr>
              <w:jc w:val="both"/>
              <w:rPr>
                <w:rFonts w:cs="Arial"/>
                <w:sz w:val="20"/>
                <w:szCs w:val="20"/>
              </w:rPr>
            </w:pPr>
            <w:r w:rsidRPr="0083131E">
              <w:rPr>
                <w:rFonts w:cs="Arial"/>
                <w:sz w:val="20"/>
                <w:szCs w:val="20"/>
              </w:rPr>
              <w:t>A thriving Welsh language and bilingual environment</w:t>
            </w:r>
          </w:p>
        </w:tc>
        <w:tc>
          <w:tcPr>
            <w:tcW w:w="905" w:type="dxa"/>
            <w:shd w:val="clear" w:color="auto" w:fill="FFFFFF"/>
          </w:tcPr>
          <w:p w14:paraId="381D8AA6" w14:textId="77777777" w:rsidR="00405A43" w:rsidRPr="0083131E" w:rsidRDefault="00405A43" w:rsidP="00122666">
            <w:pPr>
              <w:jc w:val="center"/>
              <w:rPr>
                <w:rFonts w:cs="Arial"/>
                <w:sz w:val="20"/>
                <w:szCs w:val="20"/>
              </w:rPr>
            </w:pPr>
          </w:p>
        </w:tc>
        <w:tc>
          <w:tcPr>
            <w:tcW w:w="1173" w:type="dxa"/>
            <w:shd w:val="clear" w:color="auto" w:fill="FFFFFF"/>
          </w:tcPr>
          <w:p w14:paraId="328F2BD4" w14:textId="0D333EE3" w:rsidR="00405A43" w:rsidRPr="0083131E" w:rsidRDefault="003846CE" w:rsidP="00122666">
            <w:pPr>
              <w:jc w:val="center"/>
              <w:rPr>
                <w:rFonts w:cs="Arial"/>
                <w:sz w:val="20"/>
                <w:szCs w:val="20"/>
              </w:rPr>
            </w:pPr>
            <w:r w:rsidRPr="0083131E">
              <w:rPr>
                <w:rFonts w:ascii="Wingdings" w:eastAsia="Wingdings" w:hAnsi="Wingdings" w:cs="Wingdings"/>
                <w:sz w:val="20"/>
                <w:szCs w:val="20"/>
              </w:rPr>
              <w:t>ü</w:t>
            </w:r>
          </w:p>
        </w:tc>
      </w:tr>
      <w:tr w:rsidR="00D42E0C" w:rsidRPr="0083131E" w14:paraId="2F06E8C3" w14:textId="77777777" w:rsidTr="00D44348">
        <w:tc>
          <w:tcPr>
            <w:tcW w:w="9628" w:type="dxa"/>
            <w:gridSpan w:val="4"/>
            <w:shd w:val="clear" w:color="auto" w:fill="FFFFFF"/>
          </w:tcPr>
          <w:p w14:paraId="139750E4" w14:textId="303D3B4A" w:rsidR="00D42E0C" w:rsidRPr="0083131E" w:rsidRDefault="00D42E0C" w:rsidP="00167719">
            <w:pPr>
              <w:jc w:val="both"/>
              <w:rPr>
                <w:rFonts w:cs="Arial"/>
                <w:sz w:val="20"/>
                <w:szCs w:val="20"/>
              </w:rPr>
            </w:pPr>
          </w:p>
        </w:tc>
      </w:tr>
      <w:tr w:rsidR="00D42E0C" w:rsidRPr="0083131E" w14:paraId="520CA235" w14:textId="77777777" w:rsidTr="00487760">
        <w:tc>
          <w:tcPr>
            <w:tcW w:w="2547" w:type="dxa"/>
            <w:vMerge w:val="restart"/>
            <w:shd w:val="clear" w:color="auto" w:fill="BFBFBF" w:themeFill="background1" w:themeFillShade="BF"/>
          </w:tcPr>
          <w:p w14:paraId="7B878425" w14:textId="77777777" w:rsidR="00D42E0C" w:rsidRPr="0083131E" w:rsidRDefault="000C6246" w:rsidP="00167719">
            <w:pPr>
              <w:jc w:val="both"/>
              <w:rPr>
                <w:rFonts w:cs="Arial"/>
                <w:b/>
                <w:bCs/>
                <w:sz w:val="20"/>
                <w:szCs w:val="20"/>
              </w:rPr>
            </w:pPr>
            <w:r w:rsidRPr="0083131E">
              <w:rPr>
                <w:rFonts w:cs="Arial"/>
                <w:b/>
                <w:bCs/>
                <w:sz w:val="20"/>
                <w:szCs w:val="20"/>
              </w:rPr>
              <w:t>Transformational themes:</w:t>
            </w:r>
          </w:p>
          <w:p w14:paraId="68AB9F13" w14:textId="0B93A9C6" w:rsidR="000C6246" w:rsidRPr="0083131E" w:rsidRDefault="000C6246" w:rsidP="00167719">
            <w:pPr>
              <w:jc w:val="both"/>
              <w:rPr>
                <w:rFonts w:cs="Arial"/>
                <w:sz w:val="20"/>
                <w:szCs w:val="20"/>
              </w:rPr>
            </w:pPr>
            <w:r w:rsidRPr="0083131E">
              <w:rPr>
                <w:rFonts w:cs="Arial"/>
                <w:b/>
                <w:bCs/>
                <w:sz w:val="20"/>
                <w:szCs w:val="20"/>
              </w:rPr>
              <w:t>Strengthening</w:t>
            </w:r>
            <w:r w:rsidR="00543FB9" w:rsidRPr="0083131E">
              <w:rPr>
                <w:rFonts w:cs="Arial"/>
                <w:b/>
                <w:bCs/>
                <w:sz w:val="20"/>
                <w:szCs w:val="20"/>
              </w:rPr>
              <w:br/>
            </w:r>
            <w:r w:rsidRPr="0083131E">
              <w:rPr>
                <w:rFonts w:cs="Arial"/>
                <w:b/>
                <w:bCs/>
                <w:sz w:val="20"/>
                <w:szCs w:val="20"/>
              </w:rPr>
              <w:t>and promoting…</w:t>
            </w:r>
          </w:p>
        </w:tc>
        <w:tc>
          <w:tcPr>
            <w:tcW w:w="5003" w:type="dxa"/>
            <w:shd w:val="clear" w:color="auto" w:fill="FFFFFF"/>
          </w:tcPr>
          <w:p w14:paraId="1B028A59" w14:textId="1D8D14D4" w:rsidR="00D42E0C" w:rsidRPr="0083131E" w:rsidRDefault="000C6246" w:rsidP="00167719">
            <w:pPr>
              <w:jc w:val="both"/>
              <w:rPr>
                <w:rFonts w:cs="Arial"/>
                <w:sz w:val="20"/>
                <w:szCs w:val="20"/>
              </w:rPr>
            </w:pPr>
            <w:r w:rsidRPr="0083131E">
              <w:rPr>
                <w:rFonts w:cs="Arial"/>
                <w:sz w:val="20"/>
                <w:szCs w:val="20"/>
              </w:rPr>
              <w:t>Economic, social, and civic impact</w:t>
            </w:r>
          </w:p>
        </w:tc>
        <w:tc>
          <w:tcPr>
            <w:tcW w:w="905" w:type="dxa"/>
            <w:shd w:val="clear" w:color="auto" w:fill="FFFFFF"/>
          </w:tcPr>
          <w:p w14:paraId="4B824821" w14:textId="77777777" w:rsidR="00D42E0C" w:rsidRPr="0083131E" w:rsidRDefault="00D42E0C" w:rsidP="00122666">
            <w:pPr>
              <w:jc w:val="center"/>
              <w:rPr>
                <w:rFonts w:cs="Arial"/>
                <w:sz w:val="20"/>
                <w:szCs w:val="20"/>
              </w:rPr>
            </w:pPr>
          </w:p>
        </w:tc>
        <w:tc>
          <w:tcPr>
            <w:tcW w:w="1173" w:type="dxa"/>
            <w:shd w:val="clear" w:color="auto" w:fill="FFFFFF"/>
          </w:tcPr>
          <w:p w14:paraId="371C4194" w14:textId="4598DDFB" w:rsidR="00D42E0C" w:rsidRPr="0083131E" w:rsidRDefault="0069030D" w:rsidP="00122666">
            <w:pPr>
              <w:jc w:val="center"/>
              <w:rPr>
                <w:rFonts w:cs="Arial"/>
                <w:sz w:val="20"/>
                <w:szCs w:val="20"/>
              </w:rPr>
            </w:pPr>
            <w:r w:rsidRPr="0083131E">
              <w:rPr>
                <w:rFonts w:ascii="Wingdings" w:eastAsia="Wingdings" w:hAnsi="Wingdings" w:cs="Wingdings"/>
                <w:sz w:val="20"/>
                <w:szCs w:val="20"/>
              </w:rPr>
              <w:t>ü</w:t>
            </w:r>
          </w:p>
        </w:tc>
      </w:tr>
      <w:tr w:rsidR="00D42E0C" w:rsidRPr="0083131E" w14:paraId="251FFD13" w14:textId="77777777" w:rsidTr="00487760">
        <w:tc>
          <w:tcPr>
            <w:tcW w:w="2547" w:type="dxa"/>
            <w:vMerge/>
            <w:shd w:val="clear" w:color="auto" w:fill="BFBFBF" w:themeFill="background1" w:themeFillShade="BF"/>
          </w:tcPr>
          <w:p w14:paraId="05F30AAC" w14:textId="77777777" w:rsidR="00D42E0C" w:rsidRPr="0083131E" w:rsidRDefault="00D42E0C" w:rsidP="00167719">
            <w:pPr>
              <w:jc w:val="both"/>
              <w:rPr>
                <w:rFonts w:cs="Arial"/>
                <w:sz w:val="20"/>
                <w:szCs w:val="20"/>
              </w:rPr>
            </w:pPr>
          </w:p>
        </w:tc>
        <w:tc>
          <w:tcPr>
            <w:tcW w:w="5003" w:type="dxa"/>
            <w:shd w:val="clear" w:color="auto" w:fill="FFFFFF"/>
          </w:tcPr>
          <w:p w14:paraId="57ED2EEA" w14:textId="502CD2DF" w:rsidR="00D42E0C" w:rsidRPr="0083131E" w:rsidRDefault="008A2B96" w:rsidP="00167719">
            <w:pPr>
              <w:jc w:val="both"/>
              <w:rPr>
                <w:rFonts w:cs="Arial"/>
                <w:sz w:val="20"/>
                <w:szCs w:val="20"/>
              </w:rPr>
            </w:pPr>
            <w:r w:rsidRPr="0083131E">
              <w:rPr>
                <w:rFonts w:cs="Arial"/>
                <w:sz w:val="20"/>
                <w:szCs w:val="20"/>
              </w:rPr>
              <w:t>Global reach</w:t>
            </w:r>
          </w:p>
        </w:tc>
        <w:tc>
          <w:tcPr>
            <w:tcW w:w="905" w:type="dxa"/>
            <w:shd w:val="clear" w:color="auto" w:fill="FFFFFF"/>
          </w:tcPr>
          <w:p w14:paraId="412DBD52" w14:textId="77777777" w:rsidR="00D42E0C" w:rsidRPr="0083131E" w:rsidRDefault="00D42E0C" w:rsidP="00122666">
            <w:pPr>
              <w:jc w:val="center"/>
              <w:rPr>
                <w:rFonts w:cs="Arial"/>
                <w:sz w:val="20"/>
                <w:szCs w:val="20"/>
              </w:rPr>
            </w:pPr>
          </w:p>
        </w:tc>
        <w:tc>
          <w:tcPr>
            <w:tcW w:w="1173" w:type="dxa"/>
            <w:shd w:val="clear" w:color="auto" w:fill="FFFFFF"/>
          </w:tcPr>
          <w:p w14:paraId="49B7A41E" w14:textId="1488CDBD" w:rsidR="00D42E0C" w:rsidRPr="0083131E" w:rsidRDefault="0069030D" w:rsidP="00122666">
            <w:pPr>
              <w:jc w:val="center"/>
              <w:rPr>
                <w:rFonts w:cs="Arial"/>
                <w:sz w:val="20"/>
                <w:szCs w:val="20"/>
              </w:rPr>
            </w:pPr>
            <w:r w:rsidRPr="0083131E">
              <w:rPr>
                <w:rFonts w:ascii="Wingdings" w:eastAsia="Wingdings" w:hAnsi="Wingdings" w:cs="Wingdings"/>
                <w:sz w:val="20"/>
                <w:szCs w:val="20"/>
              </w:rPr>
              <w:t>ü</w:t>
            </w:r>
          </w:p>
        </w:tc>
      </w:tr>
      <w:tr w:rsidR="00D42E0C" w:rsidRPr="0083131E" w14:paraId="47A6226F" w14:textId="77777777" w:rsidTr="00487760">
        <w:tc>
          <w:tcPr>
            <w:tcW w:w="2547" w:type="dxa"/>
            <w:vMerge/>
            <w:shd w:val="clear" w:color="auto" w:fill="BFBFBF" w:themeFill="background1" w:themeFillShade="BF"/>
          </w:tcPr>
          <w:p w14:paraId="2A0113FE" w14:textId="77777777" w:rsidR="00D42E0C" w:rsidRPr="0083131E" w:rsidRDefault="00D42E0C" w:rsidP="00167719">
            <w:pPr>
              <w:jc w:val="both"/>
              <w:rPr>
                <w:rFonts w:cs="Arial"/>
                <w:sz w:val="20"/>
                <w:szCs w:val="20"/>
              </w:rPr>
            </w:pPr>
          </w:p>
        </w:tc>
        <w:tc>
          <w:tcPr>
            <w:tcW w:w="5003" w:type="dxa"/>
            <w:shd w:val="clear" w:color="auto" w:fill="FFFFFF"/>
          </w:tcPr>
          <w:p w14:paraId="0668C6DA" w14:textId="5D53A0FB" w:rsidR="00D42E0C" w:rsidRPr="0083131E" w:rsidRDefault="008A2B96" w:rsidP="00167719">
            <w:pPr>
              <w:jc w:val="both"/>
              <w:rPr>
                <w:rFonts w:cs="Arial"/>
                <w:sz w:val="20"/>
                <w:szCs w:val="20"/>
              </w:rPr>
            </w:pPr>
            <w:r w:rsidRPr="0083131E">
              <w:rPr>
                <w:rFonts w:cs="Arial"/>
                <w:sz w:val="20"/>
                <w:szCs w:val="20"/>
              </w:rPr>
              <w:t>Health and wellbeing</w:t>
            </w:r>
          </w:p>
        </w:tc>
        <w:tc>
          <w:tcPr>
            <w:tcW w:w="905" w:type="dxa"/>
            <w:shd w:val="clear" w:color="auto" w:fill="FFFFFF"/>
          </w:tcPr>
          <w:p w14:paraId="7CA148EC" w14:textId="77777777" w:rsidR="00D42E0C" w:rsidRPr="0083131E" w:rsidRDefault="00D42E0C" w:rsidP="00122666">
            <w:pPr>
              <w:jc w:val="center"/>
              <w:rPr>
                <w:rFonts w:cs="Arial"/>
                <w:sz w:val="20"/>
                <w:szCs w:val="20"/>
              </w:rPr>
            </w:pPr>
          </w:p>
        </w:tc>
        <w:tc>
          <w:tcPr>
            <w:tcW w:w="1173" w:type="dxa"/>
            <w:shd w:val="clear" w:color="auto" w:fill="FFFFFF"/>
          </w:tcPr>
          <w:p w14:paraId="573C8423" w14:textId="4D6E1579" w:rsidR="00D42E0C" w:rsidRPr="0083131E" w:rsidRDefault="00826B1E" w:rsidP="00122666">
            <w:pPr>
              <w:jc w:val="center"/>
              <w:rPr>
                <w:rFonts w:cs="Arial"/>
                <w:sz w:val="20"/>
                <w:szCs w:val="20"/>
              </w:rPr>
            </w:pPr>
            <w:r w:rsidRPr="0083131E">
              <w:rPr>
                <w:rFonts w:ascii="Wingdings" w:eastAsia="Wingdings" w:hAnsi="Wingdings" w:cs="Wingdings"/>
                <w:sz w:val="20"/>
                <w:szCs w:val="20"/>
              </w:rPr>
              <w:t>ü</w:t>
            </w:r>
          </w:p>
        </w:tc>
      </w:tr>
      <w:tr w:rsidR="00D42E0C" w:rsidRPr="0083131E" w14:paraId="1ABC0671" w14:textId="77777777" w:rsidTr="00487760">
        <w:tc>
          <w:tcPr>
            <w:tcW w:w="2547" w:type="dxa"/>
            <w:vMerge/>
            <w:shd w:val="clear" w:color="auto" w:fill="BFBFBF" w:themeFill="background1" w:themeFillShade="BF"/>
          </w:tcPr>
          <w:p w14:paraId="6B59C25F" w14:textId="77777777" w:rsidR="00D42E0C" w:rsidRPr="0083131E" w:rsidRDefault="00D42E0C" w:rsidP="00167719">
            <w:pPr>
              <w:jc w:val="both"/>
              <w:rPr>
                <w:rFonts w:cs="Arial"/>
                <w:sz w:val="20"/>
                <w:szCs w:val="20"/>
              </w:rPr>
            </w:pPr>
          </w:p>
        </w:tc>
        <w:tc>
          <w:tcPr>
            <w:tcW w:w="5003" w:type="dxa"/>
            <w:shd w:val="clear" w:color="auto" w:fill="FFFFFF"/>
          </w:tcPr>
          <w:p w14:paraId="6D82AA0C" w14:textId="6D67E0E5" w:rsidR="00D42E0C" w:rsidRPr="0083131E" w:rsidRDefault="008A2B96" w:rsidP="00167719">
            <w:pPr>
              <w:jc w:val="both"/>
              <w:rPr>
                <w:rFonts w:cs="Arial"/>
                <w:sz w:val="20"/>
                <w:szCs w:val="20"/>
              </w:rPr>
            </w:pPr>
            <w:r w:rsidRPr="0083131E">
              <w:rPr>
                <w:rFonts w:cs="Arial"/>
                <w:sz w:val="20"/>
                <w:szCs w:val="20"/>
              </w:rPr>
              <w:t>People and talent</w:t>
            </w:r>
          </w:p>
        </w:tc>
        <w:tc>
          <w:tcPr>
            <w:tcW w:w="905" w:type="dxa"/>
            <w:shd w:val="clear" w:color="auto" w:fill="FFFFFF"/>
          </w:tcPr>
          <w:p w14:paraId="48C29228" w14:textId="77777777" w:rsidR="00D42E0C" w:rsidRPr="0083131E" w:rsidRDefault="00D42E0C" w:rsidP="00122666">
            <w:pPr>
              <w:jc w:val="center"/>
              <w:rPr>
                <w:rFonts w:cs="Arial"/>
                <w:sz w:val="20"/>
                <w:szCs w:val="20"/>
              </w:rPr>
            </w:pPr>
          </w:p>
        </w:tc>
        <w:tc>
          <w:tcPr>
            <w:tcW w:w="1173" w:type="dxa"/>
            <w:shd w:val="clear" w:color="auto" w:fill="FFFFFF"/>
          </w:tcPr>
          <w:p w14:paraId="4B83CF7F" w14:textId="79324E40" w:rsidR="00D42E0C" w:rsidRPr="0083131E" w:rsidRDefault="00C5515B" w:rsidP="00122666">
            <w:pPr>
              <w:jc w:val="center"/>
              <w:rPr>
                <w:rFonts w:cs="Arial"/>
                <w:sz w:val="20"/>
                <w:szCs w:val="20"/>
              </w:rPr>
            </w:pPr>
            <w:r w:rsidRPr="0083131E">
              <w:rPr>
                <w:rFonts w:ascii="Wingdings" w:eastAsia="Wingdings" w:hAnsi="Wingdings" w:cs="Wingdings"/>
                <w:sz w:val="20"/>
                <w:szCs w:val="20"/>
              </w:rPr>
              <w:t>ü</w:t>
            </w:r>
          </w:p>
        </w:tc>
      </w:tr>
      <w:tr w:rsidR="008A2B96" w:rsidRPr="0083131E" w14:paraId="26275860" w14:textId="77777777" w:rsidTr="00D44348">
        <w:tc>
          <w:tcPr>
            <w:tcW w:w="9628" w:type="dxa"/>
            <w:gridSpan w:val="4"/>
            <w:shd w:val="clear" w:color="auto" w:fill="FFFFFF"/>
          </w:tcPr>
          <w:p w14:paraId="3A4FE595" w14:textId="567C1006" w:rsidR="008A2B96" w:rsidRPr="0083131E" w:rsidRDefault="008A2B96" w:rsidP="00167719">
            <w:pPr>
              <w:jc w:val="both"/>
              <w:rPr>
                <w:rFonts w:cs="Arial"/>
                <w:sz w:val="20"/>
                <w:szCs w:val="20"/>
              </w:rPr>
            </w:pPr>
          </w:p>
        </w:tc>
      </w:tr>
      <w:tr w:rsidR="00122666" w:rsidRPr="0083131E" w14:paraId="26AECF37" w14:textId="77777777" w:rsidTr="00487760">
        <w:tc>
          <w:tcPr>
            <w:tcW w:w="2547" w:type="dxa"/>
            <w:shd w:val="clear" w:color="auto" w:fill="BFBFBF" w:themeFill="background1" w:themeFillShade="BF"/>
          </w:tcPr>
          <w:p w14:paraId="7A132EA9" w14:textId="1EE89097" w:rsidR="00405A43" w:rsidRPr="0083131E" w:rsidRDefault="008A2B96" w:rsidP="00167719">
            <w:pPr>
              <w:jc w:val="both"/>
              <w:rPr>
                <w:rFonts w:cs="Arial"/>
                <w:b/>
                <w:bCs/>
                <w:sz w:val="20"/>
                <w:szCs w:val="20"/>
              </w:rPr>
            </w:pPr>
            <w:r w:rsidRPr="0083131E">
              <w:rPr>
                <w:rFonts w:cs="Arial"/>
                <w:b/>
                <w:bCs/>
                <w:sz w:val="20"/>
                <w:szCs w:val="20"/>
              </w:rPr>
              <w:t>Underpinned by…</w:t>
            </w:r>
          </w:p>
        </w:tc>
        <w:tc>
          <w:tcPr>
            <w:tcW w:w="5003" w:type="dxa"/>
            <w:shd w:val="clear" w:color="auto" w:fill="FFFFFF"/>
          </w:tcPr>
          <w:p w14:paraId="4CF20A0C" w14:textId="60285FD6" w:rsidR="00405A43" w:rsidRPr="0083131E" w:rsidRDefault="008A2B96" w:rsidP="00167719">
            <w:pPr>
              <w:jc w:val="both"/>
              <w:rPr>
                <w:rFonts w:cs="Arial"/>
                <w:sz w:val="20"/>
                <w:szCs w:val="20"/>
              </w:rPr>
            </w:pPr>
            <w:r w:rsidRPr="0083131E">
              <w:rPr>
                <w:rFonts w:cs="Arial"/>
                <w:sz w:val="20"/>
                <w:szCs w:val="20"/>
              </w:rPr>
              <w:t>Institutional sustainability</w:t>
            </w:r>
          </w:p>
        </w:tc>
        <w:tc>
          <w:tcPr>
            <w:tcW w:w="905" w:type="dxa"/>
            <w:shd w:val="clear" w:color="auto" w:fill="FFFFFF"/>
          </w:tcPr>
          <w:p w14:paraId="7C78438D" w14:textId="77777777" w:rsidR="00405A43" w:rsidRPr="0083131E" w:rsidRDefault="00405A43" w:rsidP="00122666">
            <w:pPr>
              <w:jc w:val="center"/>
              <w:rPr>
                <w:rFonts w:cs="Arial"/>
                <w:sz w:val="20"/>
                <w:szCs w:val="20"/>
              </w:rPr>
            </w:pPr>
          </w:p>
        </w:tc>
        <w:tc>
          <w:tcPr>
            <w:tcW w:w="1173" w:type="dxa"/>
            <w:shd w:val="clear" w:color="auto" w:fill="FFFFFF"/>
          </w:tcPr>
          <w:p w14:paraId="4E762D25" w14:textId="5D4CA41E" w:rsidR="00405A43" w:rsidRPr="0083131E" w:rsidRDefault="003846CE" w:rsidP="00122666">
            <w:pPr>
              <w:jc w:val="center"/>
              <w:rPr>
                <w:rFonts w:cs="Arial"/>
                <w:sz w:val="20"/>
                <w:szCs w:val="20"/>
              </w:rPr>
            </w:pPr>
            <w:r w:rsidRPr="0083131E">
              <w:rPr>
                <w:rFonts w:ascii="Wingdings" w:eastAsia="Wingdings" w:hAnsi="Wingdings" w:cs="Wingdings"/>
                <w:sz w:val="20"/>
                <w:szCs w:val="20"/>
              </w:rPr>
              <w:t>ü</w:t>
            </w:r>
          </w:p>
        </w:tc>
      </w:tr>
    </w:tbl>
    <w:p w14:paraId="217511FC" w14:textId="0C79BBE2" w:rsidR="00543F33" w:rsidRPr="0083131E" w:rsidRDefault="00543F33">
      <w:pPr>
        <w:rPr>
          <w:rFonts w:cs="Arial"/>
        </w:rPr>
      </w:pPr>
    </w:p>
    <w:p w14:paraId="35297E2E" w14:textId="77777777" w:rsidR="005608BE" w:rsidRPr="0083131E" w:rsidRDefault="005608BE">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846"/>
        <w:gridCol w:w="8782"/>
      </w:tblGrid>
      <w:tr w:rsidR="00C37184" w:rsidRPr="0083131E" w14:paraId="268C8904" w14:textId="77777777" w:rsidTr="00714538">
        <w:trPr>
          <w:trHeight w:val="218"/>
        </w:trPr>
        <w:tc>
          <w:tcPr>
            <w:tcW w:w="9628" w:type="dxa"/>
            <w:gridSpan w:val="2"/>
            <w:tcBorders>
              <w:bottom w:val="single" w:sz="4" w:space="0" w:color="auto"/>
            </w:tcBorders>
            <w:shd w:val="clear" w:color="auto" w:fill="000000" w:themeFill="text1"/>
            <w:vAlign w:val="center"/>
          </w:tcPr>
          <w:p w14:paraId="268C8903" w14:textId="4DD9C00E" w:rsidR="00C37184" w:rsidRPr="0083131E" w:rsidRDefault="0069030D" w:rsidP="002C25FF">
            <w:pPr>
              <w:pStyle w:val="ListParagraph"/>
              <w:numPr>
                <w:ilvl w:val="0"/>
                <w:numId w:val="2"/>
              </w:numPr>
              <w:spacing w:after="120"/>
              <w:rPr>
                <w:rFonts w:cs="Arial"/>
                <w:b/>
                <w:sz w:val="20"/>
                <w:szCs w:val="20"/>
                <w:u w:val="single"/>
              </w:rPr>
            </w:pPr>
            <w:r w:rsidRPr="0083131E">
              <w:rPr>
                <w:rFonts w:cs="Arial"/>
                <w:b/>
                <w:bCs/>
                <w:sz w:val="20"/>
                <w:szCs w:val="20"/>
              </w:rPr>
              <w:t>Alignment to Corporate Risks</w:t>
            </w:r>
          </w:p>
        </w:tc>
      </w:tr>
      <w:tr w:rsidR="00F90EDE" w:rsidRPr="00DA66B9" w14:paraId="5ECA9D29" w14:textId="77777777" w:rsidTr="00897EA2">
        <w:tc>
          <w:tcPr>
            <w:tcW w:w="846" w:type="dxa"/>
            <w:shd w:val="clear" w:color="auto" w:fill="FFFFFF"/>
          </w:tcPr>
          <w:p w14:paraId="47B92D29" w14:textId="77777777" w:rsidR="00F90EDE" w:rsidRPr="00DA66B9" w:rsidRDefault="00F90EDE" w:rsidP="00897EA2">
            <w:pPr>
              <w:jc w:val="both"/>
              <w:rPr>
                <w:rFonts w:cs="Arial"/>
                <w:sz w:val="20"/>
                <w:szCs w:val="20"/>
              </w:rPr>
            </w:pPr>
            <w:r w:rsidRPr="00DA66B9">
              <w:rPr>
                <w:rFonts w:cs="Arial"/>
                <w:sz w:val="20"/>
                <w:szCs w:val="20"/>
              </w:rPr>
              <w:t>CR3</w:t>
            </w:r>
          </w:p>
        </w:tc>
        <w:tc>
          <w:tcPr>
            <w:tcW w:w="8782" w:type="dxa"/>
            <w:shd w:val="clear" w:color="auto" w:fill="FFFFFF"/>
          </w:tcPr>
          <w:p w14:paraId="260667D8" w14:textId="65536F16" w:rsidR="00F90EDE" w:rsidRPr="00DA66B9" w:rsidRDefault="00F90EDE" w:rsidP="00897EA2">
            <w:pPr>
              <w:jc w:val="both"/>
              <w:rPr>
                <w:rFonts w:cs="Arial"/>
                <w:sz w:val="20"/>
                <w:szCs w:val="20"/>
              </w:rPr>
            </w:pPr>
            <w:r w:rsidRPr="00DA66B9">
              <w:rPr>
                <w:rFonts w:cs="Arial"/>
                <w:sz w:val="20"/>
                <w:szCs w:val="20"/>
              </w:rPr>
              <w:t>Loss of high-quality student experience</w:t>
            </w:r>
          </w:p>
        </w:tc>
      </w:tr>
      <w:tr w:rsidR="00987CBA" w:rsidRPr="00DA66B9" w14:paraId="30A37315" w14:textId="77777777" w:rsidTr="00897EA2">
        <w:tc>
          <w:tcPr>
            <w:tcW w:w="846" w:type="dxa"/>
            <w:shd w:val="clear" w:color="auto" w:fill="FFFFFF"/>
          </w:tcPr>
          <w:p w14:paraId="31736C90" w14:textId="77777777" w:rsidR="00987CBA" w:rsidRPr="00DA66B9" w:rsidRDefault="00987CBA" w:rsidP="00897EA2">
            <w:pPr>
              <w:jc w:val="both"/>
              <w:rPr>
                <w:rFonts w:cs="Arial"/>
                <w:sz w:val="20"/>
                <w:szCs w:val="20"/>
              </w:rPr>
            </w:pPr>
            <w:r w:rsidRPr="00DA66B9">
              <w:rPr>
                <w:rFonts w:cs="Arial"/>
                <w:sz w:val="20"/>
                <w:szCs w:val="20"/>
              </w:rPr>
              <w:t>CR2</w:t>
            </w:r>
          </w:p>
        </w:tc>
        <w:tc>
          <w:tcPr>
            <w:tcW w:w="8782" w:type="dxa"/>
            <w:shd w:val="clear" w:color="auto" w:fill="FFFFFF"/>
          </w:tcPr>
          <w:p w14:paraId="3418A5F5" w14:textId="77777777" w:rsidR="00987CBA" w:rsidRPr="00DA66B9" w:rsidRDefault="00987CBA" w:rsidP="00897EA2">
            <w:pPr>
              <w:jc w:val="both"/>
              <w:rPr>
                <w:rFonts w:cs="Arial"/>
                <w:sz w:val="20"/>
                <w:szCs w:val="20"/>
              </w:rPr>
            </w:pPr>
            <w:r w:rsidRPr="00DA66B9">
              <w:rPr>
                <w:rFonts w:cs="Arial"/>
                <w:sz w:val="20"/>
                <w:szCs w:val="20"/>
              </w:rPr>
              <w:t>Reduction in quality of the academic portfolio</w:t>
            </w:r>
          </w:p>
        </w:tc>
      </w:tr>
      <w:tr w:rsidR="002B60BA" w:rsidRPr="00DA66B9" w14:paraId="3112A622" w14:textId="77777777" w:rsidTr="00897EA2">
        <w:tc>
          <w:tcPr>
            <w:tcW w:w="846" w:type="dxa"/>
            <w:shd w:val="clear" w:color="auto" w:fill="FFFFFF"/>
          </w:tcPr>
          <w:p w14:paraId="7881761B" w14:textId="77777777" w:rsidR="002B60BA" w:rsidRPr="00DA66B9" w:rsidRDefault="002B60BA" w:rsidP="00897EA2">
            <w:pPr>
              <w:jc w:val="both"/>
              <w:rPr>
                <w:rFonts w:cs="Arial"/>
                <w:sz w:val="20"/>
                <w:szCs w:val="20"/>
              </w:rPr>
            </w:pPr>
            <w:r w:rsidRPr="00DA66B9">
              <w:rPr>
                <w:rFonts w:cs="Arial"/>
                <w:sz w:val="20"/>
                <w:szCs w:val="20"/>
              </w:rPr>
              <w:t>CR6</w:t>
            </w:r>
          </w:p>
        </w:tc>
        <w:tc>
          <w:tcPr>
            <w:tcW w:w="8782" w:type="dxa"/>
            <w:shd w:val="clear" w:color="auto" w:fill="FFFFFF"/>
          </w:tcPr>
          <w:p w14:paraId="199CD7E2" w14:textId="77777777" w:rsidR="002B60BA" w:rsidRPr="00DA66B9" w:rsidRDefault="002B60BA" w:rsidP="00897EA2">
            <w:pPr>
              <w:jc w:val="both"/>
              <w:rPr>
                <w:rFonts w:cs="Arial"/>
                <w:sz w:val="20"/>
                <w:szCs w:val="20"/>
              </w:rPr>
            </w:pPr>
            <w:r w:rsidRPr="00DA66B9">
              <w:rPr>
                <w:rFonts w:cs="Arial"/>
                <w:sz w:val="20"/>
                <w:szCs w:val="20"/>
              </w:rPr>
              <w:t>Failure to realise the University’s strategic aims in relation to the Welsh language</w:t>
            </w:r>
          </w:p>
        </w:tc>
      </w:tr>
      <w:tr w:rsidR="008A0E9C" w:rsidRPr="00DA66B9" w14:paraId="091CFA35" w14:textId="77777777" w:rsidTr="00D44348">
        <w:tc>
          <w:tcPr>
            <w:tcW w:w="846" w:type="dxa"/>
            <w:shd w:val="clear" w:color="auto" w:fill="FFFFFF"/>
          </w:tcPr>
          <w:p w14:paraId="5DF0139C" w14:textId="23A77CBC" w:rsidR="008A0E9C" w:rsidRPr="00DA66B9" w:rsidRDefault="00E32A61" w:rsidP="00A41BE1">
            <w:pPr>
              <w:jc w:val="both"/>
              <w:rPr>
                <w:rFonts w:cs="Arial"/>
                <w:sz w:val="20"/>
                <w:szCs w:val="20"/>
              </w:rPr>
            </w:pPr>
            <w:r w:rsidRPr="00DA66B9">
              <w:rPr>
                <w:rFonts w:cs="Arial"/>
                <w:sz w:val="20"/>
                <w:szCs w:val="20"/>
              </w:rPr>
              <w:t>CR9</w:t>
            </w:r>
          </w:p>
        </w:tc>
        <w:tc>
          <w:tcPr>
            <w:tcW w:w="8782" w:type="dxa"/>
            <w:shd w:val="clear" w:color="auto" w:fill="FFFFFF"/>
          </w:tcPr>
          <w:p w14:paraId="5E2D40D4" w14:textId="6F4F2751" w:rsidR="008A0E9C" w:rsidRPr="00DA66B9" w:rsidRDefault="00E32A61" w:rsidP="00A41BE1">
            <w:pPr>
              <w:jc w:val="both"/>
              <w:rPr>
                <w:rFonts w:cs="Arial"/>
                <w:sz w:val="20"/>
                <w:szCs w:val="20"/>
              </w:rPr>
            </w:pPr>
            <w:r w:rsidRPr="00DA66B9">
              <w:rPr>
                <w:rFonts w:cs="Arial"/>
                <w:sz w:val="20"/>
                <w:szCs w:val="20"/>
              </w:rPr>
              <w:t xml:space="preserve">Inadequate progress with the </w:t>
            </w:r>
            <w:proofErr w:type="gramStart"/>
            <w:r w:rsidRPr="00DA66B9">
              <w:rPr>
                <w:rFonts w:cs="Arial"/>
                <w:sz w:val="20"/>
                <w:szCs w:val="20"/>
              </w:rPr>
              <w:t>estates</w:t>
            </w:r>
            <w:proofErr w:type="gramEnd"/>
            <w:r w:rsidRPr="00DA66B9">
              <w:rPr>
                <w:rFonts w:cs="Arial"/>
                <w:sz w:val="20"/>
                <w:szCs w:val="20"/>
              </w:rPr>
              <w:t xml:space="preserve"> strategy</w:t>
            </w:r>
          </w:p>
        </w:tc>
      </w:tr>
    </w:tbl>
    <w:p w14:paraId="268C89FB" w14:textId="4F8D8B2E" w:rsidR="004D560E" w:rsidRPr="00114E8F" w:rsidRDefault="004D560E" w:rsidP="00A0330B">
      <w:pPr>
        <w:rPr>
          <w:rFonts w:cs="Arial"/>
          <w:sz w:val="22"/>
          <w:szCs w:val="22"/>
        </w:rPr>
      </w:pPr>
    </w:p>
    <w:p w14:paraId="042151A2" w14:textId="77777777" w:rsidR="004A337C" w:rsidRPr="00114E8F" w:rsidRDefault="004A337C" w:rsidP="00A0330B">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256"/>
        <w:gridCol w:w="6372"/>
      </w:tblGrid>
      <w:tr w:rsidR="002A153D" w:rsidRPr="00114E8F" w14:paraId="0A597D9F" w14:textId="77777777" w:rsidTr="00D44348">
        <w:tc>
          <w:tcPr>
            <w:tcW w:w="9628" w:type="dxa"/>
            <w:gridSpan w:val="2"/>
            <w:tcBorders>
              <w:bottom w:val="single" w:sz="4" w:space="0" w:color="auto"/>
            </w:tcBorders>
            <w:shd w:val="clear" w:color="auto" w:fill="000000" w:themeFill="text1"/>
            <w:vAlign w:val="center"/>
          </w:tcPr>
          <w:p w14:paraId="3F06FE60" w14:textId="354EE191" w:rsidR="002A153D" w:rsidRPr="00114E8F" w:rsidRDefault="002A153D" w:rsidP="002C25FF">
            <w:pPr>
              <w:pStyle w:val="ListParagraph"/>
              <w:numPr>
                <w:ilvl w:val="0"/>
                <w:numId w:val="2"/>
              </w:numPr>
              <w:spacing w:after="120"/>
              <w:rPr>
                <w:rFonts w:cs="Arial"/>
                <w:b/>
                <w:sz w:val="20"/>
                <w:szCs w:val="20"/>
                <w:u w:val="single"/>
              </w:rPr>
            </w:pPr>
            <w:r w:rsidRPr="00114E8F">
              <w:rPr>
                <w:rFonts w:cs="Arial"/>
                <w:b/>
                <w:bCs/>
                <w:sz w:val="20"/>
                <w:szCs w:val="20"/>
              </w:rPr>
              <w:t>Governance</w:t>
            </w:r>
          </w:p>
        </w:tc>
      </w:tr>
      <w:tr w:rsidR="002A153D" w:rsidRPr="002403D4" w14:paraId="689B7362" w14:textId="77777777" w:rsidTr="00D44348">
        <w:tc>
          <w:tcPr>
            <w:tcW w:w="3256" w:type="dxa"/>
            <w:shd w:val="clear" w:color="auto" w:fill="FFFFFF"/>
          </w:tcPr>
          <w:p w14:paraId="263500F3" w14:textId="7E60E6C6" w:rsidR="002A153D" w:rsidRPr="002403D4" w:rsidRDefault="002A153D" w:rsidP="00167719">
            <w:pPr>
              <w:jc w:val="both"/>
              <w:rPr>
                <w:rFonts w:cs="Arial"/>
                <w:sz w:val="20"/>
                <w:szCs w:val="20"/>
              </w:rPr>
            </w:pPr>
            <w:r w:rsidRPr="002403D4">
              <w:rPr>
                <w:rFonts w:cs="Arial"/>
                <w:sz w:val="20"/>
                <w:szCs w:val="20"/>
              </w:rPr>
              <w:t>Strategy period</w:t>
            </w:r>
          </w:p>
        </w:tc>
        <w:tc>
          <w:tcPr>
            <w:tcW w:w="6372" w:type="dxa"/>
            <w:shd w:val="clear" w:color="auto" w:fill="FFFFFF"/>
          </w:tcPr>
          <w:p w14:paraId="5A7228FE" w14:textId="6EEA0D10" w:rsidR="002A153D" w:rsidRPr="002403D4" w:rsidRDefault="002A153D" w:rsidP="00167719">
            <w:pPr>
              <w:jc w:val="both"/>
              <w:rPr>
                <w:rFonts w:cs="Arial"/>
                <w:sz w:val="20"/>
                <w:szCs w:val="20"/>
              </w:rPr>
            </w:pPr>
            <w:r w:rsidRPr="002403D4">
              <w:rPr>
                <w:rFonts w:cs="Arial"/>
                <w:sz w:val="20"/>
                <w:szCs w:val="20"/>
              </w:rPr>
              <w:t>202</w:t>
            </w:r>
            <w:r w:rsidR="00E829F8" w:rsidRPr="002403D4">
              <w:rPr>
                <w:rFonts w:cs="Arial"/>
                <w:sz w:val="20"/>
                <w:szCs w:val="20"/>
              </w:rPr>
              <w:t>0</w:t>
            </w:r>
            <w:r w:rsidRPr="002403D4">
              <w:rPr>
                <w:rFonts w:cs="Arial"/>
                <w:sz w:val="20"/>
                <w:szCs w:val="20"/>
              </w:rPr>
              <w:t>-202</w:t>
            </w:r>
            <w:r w:rsidR="00E829F8" w:rsidRPr="002403D4">
              <w:rPr>
                <w:rFonts w:cs="Arial"/>
                <w:sz w:val="20"/>
                <w:szCs w:val="20"/>
              </w:rPr>
              <w:t>3</w:t>
            </w:r>
          </w:p>
        </w:tc>
      </w:tr>
      <w:tr w:rsidR="002A153D" w:rsidRPr="002403D4" w14:paraId="412A7FB4" w14:textId="77777777" w:rsidTr="00D44348">
        <w:tc>
          <w:tcPr>
            <w:tcW w:w="3256" w:type="dxa"/>
            <w:shd w:val="clear" w:color="auto" w:fill="FFFFFF"/>
          </w:tcPr>
          <w:p w14:paraId="0CF470A6" w14:textId="2C1E3E10" w:rsidR="002A153D" w:rsidRPr="002403D4" w:rsidRDefault="00637946" w:rsidP="00167719">
            <w:pPr>
              <w:jc w:val="both"/>
              <w:rPr>
                <w:rFonts w:cs="Arial"/>
                <w:sz w:val="20"/>
                <w:szCs w:val="20"/>
              </w:rPr>
            </w:pPr>
            <w:r w:rsidRPr="002403D4">
              <w:rPr>
                <w:rFonts w:cs="Arial"/>
                <w:sz w:val="20"/>
                <w:szCs w:val="20"/>
              </w:rPr>
              <w:t>Strategy review arrangements</w:t>
            </w:r>
          </w:p>
        </w:tc>
        <w:tc>
          <w:tcPr>
            <w:tcW w:w="6372" w:type="dxa"/>
            <w:shd w:val="clear" w:color="auto" w:fill="FFFFFF"/>
          </w:tcPr>
          <w:p w14:paraId="18925744" w14:textId="4C92E665" w:rsidR="002A153D" w:rsidRPr="002403D4" w:rsidRDefault="006F206A" w:rsidP="00167719">
            <w:pPr>
              <w:jc w:val="both"/>
              <w:rPr>
                <w:rFonts w:cs="Arial"/>
                <w:sz w:val="20"/>
                <w:szCs w:val="20"/>
              </w:rPr>
            </w:pPr>
            <w:r w:rsidRPr="002403D4">
              <w:rPr>
                <w:rFonts w:cs="Arial"/>
                <w:sz w:val="20"/>
                <w:szCs w:val="20"/>
              </w:rPr>
              <w:t xml:space="preserve">The strategy will be reviewed annually by the </w:t>
            </w:r>
            <w:r w:rsidR="002403D4" w:rsidRPr="002403D4">
              <w:rPr>
                <w:rFonts w:cs="Arial"/>
                <w:sz w:val="20"/>
                <w:szCs w:val="20"/>
              </w:rPr>
              <w:t>Student Experience</w:t>
            </w:r>
            <w:r w:rsidRPr="002403D4">
              <w:rPr>
                <w:rFonts w:cs="Arial"/>
                <w:sz w:val="20"/>
                <w:szCs w:val="20"/>
              </w:rPr>
              <w:t xml:space="preserve"> Strategy Group</w:t>
            </w:r>
            <w:r w:rsidR="00660CE3" w:rsidRPr="002403D4">
              <w:rPr>
                <w:rFonts w:cs="Arial"/>
                <w:sz w:val="20"/>
                <w:szCs w:val="20"/>
              </w:rPr>
              <w:t xml:space="preserve"> and the outcomes will be reported to the Executive.</w:t>
            </w:r>
          </w:p>
        </w:tc>
      </w:tr>
      <w:tr w:rsidR="0054465B" w:rsidRPr="007E6679" w14:paraId="4E8A7DD1" w14:textId="77777777" w:rsidTr="00D44348">
        <w:tc>
          <w:tcPr>
            <w:tcW w:w="3256" w:type="dxa"/>
            <w:shd w:val="clear" w:color="auto" w:fill="FFFFFF"/>
          </w:tcPr>
          <w:p w14:paraId="19964E4D" w14:textId="67168D30" w:rsidR="0054465B" w:rsidRPr="007E6679" w:rsidRDefault="0054465B" w:rsidP="00167719">
            <w:pPr>
              <w:jc w:val="both"/>
              <w:rPr>
                <w:rFonts w:cs="Arial"/>
                <w:sz w:val="20"/>
                <w:szCs w:val="20"/>
              </w:rPr>
            </w:pPr>
            <w:r w:rsidRPr="007E6679">
              <w:rPr>
                <w:rFonts w:cs="Arial"/>
                <w:sz w:val="20"/>
                <w:szCs w:val="20"/>
              </w:rPr>
              <w:t>Last reviewed</w:t>
            </w:r>
          </w:p>
        </w:tc>
        <w:tc>
          <w:tcPr>
            <w:tcW w:w="6372" w:type="dxa"/>
            <w:shd w:val="clear" w:color="auto" w:fill="FFFFFF"/>
          </w:tcPr>
          <w:p w14:paraId="0BB0A98C" w14:textId="1B237657" w:rsidR="00630AC8" w:rsidRDefault="0029103E" w:rsidP="00167719">
            <w:pPr>
              <w:jc w:val="both"/>
              <w:rPr>
                <w:rFonts w:cs="Arial"/>
                <w:sz w:val="20"/>
                <w:szCs w:val="20"/>
              </w:rPr>
            </w:pPr>
            <w:r w:rsidRPr="007E6679">
              <w:rPr>
                <w:rFonts w:cs="Arial"/>
                <w:sz w:val="20"/>
                <w:szCs w:val="20"/>
              </w:rPr>
              <w:t xml:space="preserve">The initial strategy was reviewed and approved by the Executive </w:t>
            </w:r>
            <w:r w:rsidR="008E0BA6">
              <w:rPr>
                <w:rFonts w:cs="Arial"/>
                <w:sz w:val="20"/>
                <w:szCs w:val="20"/>
              </w:rPr>
              <w:t>i</w:t>
            </w:r>
            <w:r w:rsidRPr="007E6679">
              <w:rPr>
                <w:rFonts w:cs="Arial"/>
                <w:sz w:val="20"/>
                <w:szCs w:val="20"/>
              </w:rPr>
              <w:t>n</w:t>
            </w:r>
            <w:r w:rsidR="008E0BA6">
              <w:rPr>
                <w:rFonts w:cs="Arial"/>
                <w:sz w:val="20"/>
                <w:szCs w:val="20"/>
              </w:rPr>
              <w:t xml:space="preserve"> </w:t>
            </w:r>
            <w:r w:rsidR="00660CE3" w:rsidRPr="00C33CB4">
              <w:rPr>
                <w:rFonts w:cs="Arial"/>
                <w:sz w:val="20"/>
                <w:szCs w:val="20"/>
              </w:rPr>
              <w:t>202</w:t>
            </w:r>
            <w:r w:rsidR="00630AC8" w:rsidRPr="00C33CB4">
              <w:rPr>
                <w:rFonts w:cs="Arial"/>
                <w:sz w:val="20"/>
                <w:szCs w:val="20"/>
              </w:rPr>
              <w:t>0</w:t>
            </w:r>
            <w:r w:rsidR="00630AC8">
              <w:rPr>
                <w:rFonts w:cs="Arial"/>
                <w:sz w:val="20"/>
                <w:szCs w:val="20"/>
              </w:rPr>
              <w:t>.</w:t>
            </w:r>
          </w:p>
          <w:p w14:paraId="3646A090" w14:textId="4C3C7695" w:rsidR="00630AC8" w:rsidRPr="007E6679" w:rsidRDefault="00630AC8" w:rsidP="00167719">
            <w:pPr>
              <w:jc w:val="both"/>
              <w:rPr>
                <w:rFonts w:cs="Arial"/>
                <w:sz w:val="20"/>
                <w:szCs w:val="20"/>
              </w:rPr>
            </w:pPr>
            <w:r>
              <w:rPr>
                <w:rFonts w:cs="Arial"/>
                <w:sz w:val="20"/>
                <w:szCs w:val="20"/>
              </w:rPr>
              <w:t xml:space="preserve">The latest revision was </w:t>
            </w:r>
            <w:r w:rsidRPr="007E6679">
              <w:rPr>
                <w:rFonts w:cs="Arial"/>
                <w:sz w:val="20"/>
                <w:szCs w:val="20"/>
              </w:rPr>
              <w:t xml:space="preserve">reviewed and approved by the Executive </w:t>
            </w:r>
            <w:r w:rsidR="008E0BA6">
              <w:rPr>
                <w:rFonts w:cs="Arial"/>
                <w:sz w:val="20"/>
                <w:szCs w:val="20"/>
              </w:rPr>
              <w:t>i</w:t>
            </w:r>
            <w:r w:rsidRPr="007E6679">
              <w:rPr>
                <w:rFonts w:cs="Arial"/>
                <w:sz w:val="20"/>
                <w:szCs w:val="20"/>
              </w:rPr>
              <w:t>n</w:t>
            </w:r>
            <w:r>
              <w:rPr>
                <w:rFonts w:cs="Arial"/>
                <w:sz w:val="20"/>
                <w:szCs w:val="20"/>
              </w:rPr>
              <w:t xml:space="preserve"> </w:t>
            </w:r>
            <w:r w:rsidR="00C33CB4">
              <w:rPr>
                <w:rFonts w:cs="Arial"/>
                <w:sz w:val="20"/>
                <w:szCs w:val="20"/>
              </w:rPr>
              <w:t>202</w:t>
            </w:r>
            <w:r w:rsidR="008E0BA6">
              <w:rPr>
                <w:rFonts w:cs="Arial"/>
                <w:sz w:val="20"/>
                <w:szCs w:val="20"/>
              </w:rPr>
              <w:t>2</w:t>
            </w:r>
            <w:r w:rsidR="00C33CB4">
              <w:rPr>
                <w:rFonts w:cs="Arial"/>
                <w:sz w:val="20"/>
                <w:szCs w:val="20"/>
              </w:rPr>
              <w:t>.</w:t>
            </w:r>
          </w:p>
        </w:tc>
      </w:tr>
    </w:tbl>
    <w:p w14:paraId="3D48D447" w14:textId="45C71C81" w:rsidR="00682A34" w:rsidRDefault="00682A34" w:rsidP="00A0330B">
      <w:pPr>
        <w:rPr>
          <w:rFonts w:cs="Arial"/>
          <w:sz w:val="22"/>
          <w:szCs w:val="22"/>
        </w:rPr>
      </w:pPr>
    </w:p>
    <w:p w14:paraId="029D4940" w14:textId="77777777" w:rsidR="00682A34" w:rsidRDefault="00682A34">
      <w:pPr>
        <w:rPr>
          <w:rFonts w:cs="Arial"/>
          <w:sz w:val="22"/>
          <w:szCs w:val="22"/>
        </w:rPr>
      </w:pPr>
      <w:r>
        <w:rPr>
          <w:rFonts w:cs="Arial"/>
          <w:sz w:val="22"/>
          <w:szCs w:val="22"/>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28"/>
      </w:tblGrid>
      <w:tr w:rsidR="00D04D18" w:rsidRPr="00114E8F" w14:paraId="7330A8B0" w14:textId="77777777" w:rsidTr="28A157E5">
        <w:tc>
          <w:tcPr>
            <w:tcW w:w="9628" w:type="dxa"/>
            <w:shd w:val="clear" w:color="auto" w:fill="000000" w:themeFill="text1"/>
            <w:vAlign w:val="center"/>
          </w:tcPr>
          <w:p w14:paraId="2D460B6A" w14:textId="6A6D2F30" w:rsidR="00D04D18" w:rsidRPr="00114E8F" w:rsidRDefault="00D04D18" w:rsidP="002C25FF">
            <w:pPr>
              <w:pStyle w:val="ListParagraph"/>
              <w:numPr>
                <w:ilvl w:val="0"/>
                <w:numId w:val="2"/>
              </w:numPr>
              <w:spacing w:after="120"/>
              <w:rPr>
                <w:rFonts w:cs="Arial"/>
                <w:b/>
                <w:sz w:val="20"/>
                <w:szCs w:val="20"/>
                <w:u w:val="single"/>
              </w:rPr>
            </w:pPr>
            <w:r w:rsidRPr="00114E8F">
              <w:rPr>
                <w:rFonts w:cs="Arial"/>
                <w:b/>
                <w:bCs/>
                <w:sz w:val="20"/>
                <w:szCs w:val="20"/>
              </w:rPr>
              <w:lastRenderedPageBreak/>
              <w:t>Introduction</w:t>
            </w:r>
          </w:p>
        </w:tc>
      </w:tr>
      <w:tr w:rsidR="00D04D18" w:rsidRPr="0083131E" w14:paraId="42C8A42C" w14:textId="77777777" w:rsidTr="28A157E5">
        <w:tc>
          <w:tcPr>
            <w:tcW w:w="9628" w:type="dxa"/>
            <w:tcBorders>
              <w:bottom w:val="single" w:sz="4" w:space="0" w:color="auto"/>
            </w:tcBorders>
            <w:shd w:val="clear" w:color="auto" w:fill="auto"/>
            <w:vAlign w:val="center"/>
          </w:tcPr>
          <w:p w14:paraId="1CF2A2A8" w14:textId="3FF1CD42" w:rsidR="00623FC6" w:rsidRPr="00D2743F" w:rsidRDefault="001260E8" w:rsidP="0053039A">
            <w:pPr>
              <w:spacing w:before="120" w:after="120"/>
              <w:rPr>
                <w:rFonts w:cs="Arial"/>
                <w:sz w:val="20"/>
                <w:szCs w:val="20"/>
              </w:rPr>
            </w:pPr>
            <w:r w:rsidRPr="00D2743F">
              <w:rPr>
                <w:rFonts w:cs="Arial"/>
                <w:b/>
                <w:bCs/>
                <w:sz w:val="20"/>
                <w:szCs w:val="20"/>
              </w:rPr>
              <w:t>O</w:t>
            </w:r>
            <w:r w:rsidR="00623FC6" w:rsidRPr="00D2743F">
              <w:rPr>
                <w:rFonts w:cs="Arial"/>
                <w:b/>
                <w:bCs/>
                <w:sz w:val="20"/>
                <w:szCs w:val="20"/>
              </w:rPr>
              <w:t xml:space="preserve">ur </w:t>
            </w:r>
            <w:r w:rsidRPr="00D2743F">
              <w:rPr>
                <w:rFonts w:cs="Arial"/>
                <w:b/>
                <w:bCs/>
                <w:sz w:val="20"/>
                <w:szCs w:val="20"/>
              </w:rPr>
              <w:t>V</w:t>
            </w:r>
            <w:r w:rsidR="00623FC6" w:rsidRPr="00D2743F">
              <w:rPr>
                <w:rFonts w:cs="Arial"/>
                <w:b/>
                <w:bCs/>
                <w:sz w:val="20"/>
                <w:szCs w:val="20"/>
              </w:rPr>
              <w:t>ision</w:t>
            </w:r>
            <w:r w:rsidR="00623FC6" w:rsidRPr="00D2743F">
              <w:rPr>
                <w:rFonts w:cs="Arial"/>
                <w:sz w:val="20"/>
                <w:szCs w:val="20"/>
              </w:rPr>
              <w:t>:</w:t>
            </w:r>
          </w:p>
          <w:p w14:paraId="09C18240" w14:textId="0424CEB0" w:rsidR="00D2743F" w:rsidRPr="00D2743F" w:rsidRDefault="00D2743F" w:rsidP="00623FC6">
            <w:pPr>
              <w:spacing w:after="120"/>
              <w:rPr>
                <w:rFonts w:cs="Arial"/>
                <w:sz w:val="20"/>
                <w:szCs w:val="20"/>
              </w:rPr>
            </w:pPr>
            <w:r w:rsidRPr="00D2743F">
              <w:rPr>
                <w:rFonts w:cs="Arial"/>
                <w:sz w:val="20"/>
                <w:szCs w:val="20"/>
              </w:rPr>
              <w:t xml:space="preserve">We believe that all students should have the opportunity to shape their experiences at </w:t>
            </w:r>
            <w:r w:rsidR="00A97A1F">
              <w:rPr>
                <w:rFonts w:cs="Arial"/>
                <w:sz w:val="20"/>
                <w:szCs w:val="20"/>
              </w:rPr>
              <w:t>u</w:t>
            </w:r>
            <w:r w:rsidRPr="00D2743F">
              <w:rPr>
                <w:rFonts w:cs="Arial"/>
                <w:sz w:val="20"/>
                <w:szCs w:val="20"/>
              </w:rPr>
              <w:t>niversity. We are committed to delivering a personalised student experience for our students; this means providing support for all students to embrace opportunities, develop, and realise their ambitions. As a bilingual institution and a global centre of excellence for Welsh-medium education, we are uniquely placed to understand and champion diversity in our approach to the student experience and engagement with our communities.</w:t>
            </w:r>
          </w:p>
          <w:p w14:paraId="6F94BD47" w14:textId="7AF56EF5" w:rsidR="00D2743F" w:rsidRDefault="00D2743F" w:rsidP="00623FC6">
            <w:pPr>
              <w:spacing w:after="120"/>
              <w:rPr>
                <w:rFonts w:cs="Arial"/>
                <w:sz w:val="20"/>
                <w:szCs w:val="20"/>
              </w:rPr>
            </w:pPr>
          </w:p>
          <w:p w14:paraId="62EE0E45" w14:textId="77777777" w:rsidR="00D66138" w:rsidRPr="00D66138" w:rsidRDefault="00D66138" w:rsidP="00207806">
            <w:pPr>
              <w:spacing w:after="120"/>
              <w:rPr>
                <w:rFonts w:cs="Arial"/>
                <w:b/>
                <w:bCs/>
                <w:sz w:val="20"/>
                <w:szCs w:val="20"/>
              </w:rPr>
            </w:pPr>
            <w:r w:rsidRPr="00D66138">
              <w:rPr>
                <w:rFonts w:cs="Arial"/>
                <w:b/>
                <w:bCs/>
                <w:sz w:val="20"/>
                <w:szCs w:val="20"/>
              </w:rPr>
              <w:t xml:space="preserve">Where we are: </w:t>
            </w:r>
          </w:p>
          <w:p w14:paraId="61A648B4" w14:textId="77777777" w:rsidR="00D66138" w:rsidRPr="00D66138" w:rsidRDefault="00D66138" w:rsidP="00207806">
            <w:pPr>
              <w:spacing w:after="120"/>
              <w:rPr>
                <w:rFonts w:cs="Arial"/>
                <w:sz w:val="20"/>
                <w:szCs w:val="20"/>
              </w:rPr>
            </w:pPr>
            <w:r w:rsidRPr="00D66138">
              <w:rPr>
                <w:rFonts w:cs="Arial"/>
                <w:sz w:val="20"/>
                <w:szCs w:val="20"/>
              </w:rPr>
              <w:t xml:space="preserve">Bangor University has a history of development and enhancement initiatives in partnership with our student body, most recently in the #TogetherWe programme. Students are at the heart of our decision-making, something that is not only reflected in the make-up of our committee structures, with student representation from the Students’ Union, but also in our approach to strategic developments and the day-to-day running of the University. </w:t>
            </w:r>
          </w:p>
          <w:p w14:paraId="434000D9" w14:textId="77777777" w:rsidR="00D66138" w:rsidRPr="00D66138" w:rsidRDefault="00D66138" w:rsidP="00207806">
            <w:pPr>
              <w:spacing w:after="120"/>
              <w:rPr>
                <w:rFonts w:cs="Arial"/>
                <w:sz w:val="20"/>
                <w:szCs w:val="20"/>
              </w:rPr>
            </w:pPr>
            <w:r w:rsidRPr="00D66138">
              <w:rPr>
                <w:rFonts w:cs="Arial"/>
                <w:sz w:val="20"/>
                <w:szCs w:val="20"/>
              </w:rPr>
              <w:t xml:space="preserve">In 2011, Bangor University was one of the first UK Higher Education Institutions to make a commitment to partnership working with students across all aspects of the student experience. Our vision was to extend partnership working beyond student representation and consultation to collaboration: an agenda based on mutual respect. </w:t>
            </w:r>
          </w:p>
          <w:p w14:paraId="096D6E69" w14:textId="77777777" w:rsidR="00D66138" w:rsidRPr="00D66138" w:rsidRDefault="00D66138" w:rsidP="00207806">
            <w:pPr>
              <w:spacing w:after="120"/>
              <w:rPr>
                <w:rFonts w:cs="Arial"/>
                <w:sz w:val="20"/>
                <w:szCs w:val="20"/>
              </w:rPr>
            </w:pPr>
            <w:r w:rsidRPr="00D66138">
              <w:rPr>
                <w:rFonts w:cs="Arial"/>
                <w:sz w:val="20"/>
                <w:szCs w:val="20"/>
              </w:rPr>
              <w:t>Bangor University already has an excellent reputation for its staff and student collaboration, particularly within our academic domain. This is evident through the development of our first Student-Led Teaching and Learning Strategy (2017-2020) which in turn informed the development of our new student-centred Teaching and Learning Strategy (2020-2025).</w:t>
            </w:r>
          </w:p>
          <w:p w14:paraId="463162FF" w14:textId="33FB8F58" w:rsidR="00D66138" w:rsidRPr="00D66138" w:rsidRDefault="00D66138" w:rsidP="0064759A">
            <w:pPr>
              <w:spacing w:after="120"/>
              <w:rPr>
                <w:rFonts w:cs="Arial"/>
                <w:sz w:val="20"/>
                <w:szCs w:val="20"/>
              </w:rPr>
            </w:pPr>
            <w:r w:rsidRPr="00D66138">
              <w:rPr>
                <w:rFonts w:cs="Arial"/>
                <w:sz w:val="20"/>
                <w:szCs w:val="20"/>
              </w:rPr>
              <w:t xml:space="preserve">The student experience was dramatically affected from early 2020 when the </w:t>
            </w:r>
            <w:r w:rsidR="0070733A">
              <w:rPr>
                <w:rFonts w:cs="Arial"/>
                <w:sz w:val="20"/>
                <w:szCs w:val="20"/>
              </w:rPr>
              <w:t>COVID</w:t>
            </w:r>
            <w:r w:rsidRPr="00D66138">
              <w:rPr>
                <w:rFonts w:cs="Arial"/>
                <w:sz w:val="20"/>
                <w:szCs w:val="20"/>
              </w:rPr>
              <w:t>-19 pandemic, and associated changes in behaviour, changed so many elements of student life. The University worked hard to try and mitigate these effects, moving teaching on-line, modifying the examination process, and adapting student support to the new environment. Inevitably, however, the student experience was affected in innumerable ways.</w:t>
            </w:r>
          </w:p>
          <w:p w14:paraId="34AE9AA0" w14:textId="6FAFBAF5" w:rsidR="000817CB" w:rsidRDefault="00D66138" w:rsidP="00D66138">
            <w:pPr>
              <w:spacing w:after="120"/>
              <w:rPr>
                <w:rFonts w:cs="Arial"/>
                <w:sz w:val="20"/>
                <w:szCs w:val="20"/>
              </w:rPr>
            </w:pPr>
            <w:r w:rsidRPr="00D66138">
              <w:rPr>
                <w:rFonts w:cs="Arial"/>
                <w:sz w:val="20"/>
                <w:szCs w:val="20"/>
              </w:rPr>
              <w:t>In this Student Experience Strategy, we strive for a longer-term vision. We will further enrich our relationship with our students, by developing our collaborative practices and extending them outside the academic domain to continue to deliver an exceptional student experience.</w:t>
            </w:r>
          </w:p>
          <w:p w14:paraId="1831F77A" w14:textId="56AF1690" w:rsidR="000817CB" w:rsidRDefault="000817CB" w:rsidP="00623FC6">
            <w:pPr>
              <w:spacing w:after="120"/>
              <w:rPr>
                <w:rFonts w:cs="Arial"/>
                <w:sz w:val="20"/>
                <w:szCs w:val="20"/>
              </w:rPr>
            </w:pPr>
          </w:p>
          <w:p w14:paraId="047FBB63" w14:textId="77777777" w:rsidR="002702D3" w:rsidRPr="002702D3" w:rsidRDefault="002702D3" w:rsidP="002702D3">
            <w:pPr>
              <w:spacing w:after="120"/>
              <w:rPr>
                <w:rFonts w:cs="Arial"/>
                <w:b/>
                <w:bCs/>
                <w:sz w:val="20"/>
                <w:szCs w:val="20"/>
              </w:rPr>
            </w:pPr>
            <w:r w:rsidRPr="002702D3">
              <w:rPr>
                <w:rFonts w:cs="Arial"/>
                <w:b/>
                <w:bCs/>
                <w:sz w:val="20"/>
                <w:szCs w:val="20"/>
              </w:rPr>
              <w:t>Our 4 key areas of focus:</w:t>
            </w:r>
          </w:p>
          <w:p w14:paraId="33446BB5" w14:textId="2F340C31" w:rsidR="002702D3" w:rsidRPr="002702D3" w:rsidRDefault="002702D3" w:rsidP="00737E28">
            <w:pPr>
              <w:spacing w:after="120"/>
              <w:rPr>
                <w:rFonts w:cs="Arial"/>
                <w:sz w:val="20"/>
                <w:szCs w:val="20"/>
              </w:rPr>
            </w:pPr>
            <w:r w:rsidRPr="002702D3">
              <w:rPr>
                <w:rFonts w:cs="Arial"/>
                <w:sz w:val="20"/>
                <w:szCs w:val="20"/>
              </w:rPr>
              <w:t>Through consultation with key stakeholders</w:t>
            </w:r>
            <w:r w:rsidR="007E7BA9">
              <w:rPr>
                <w:rFonts w:cs="Arial"/>
                <w:sz w:val="20"/>
                <w:szCs w:val="20"/>
              </w:rPr>
              <w:t>,</w:t>
            </w:r>
            <w:r w:rsidRPr="002702D3">
              <w:rPr>
                <w:rFonts w:cs="Arial"/>
                <w:sz w:val="20"/>
                <w:szCs w:val="20"/>
              </w:rPr>
              <w:t xml:space="preserve"> including staff, students, and the Students’ Union, we identified </w:t>
            </w:r>
            <w:r w:rsidR="007E7BA9">
              <w:rPr>
                <w:rFonts w:cs="Arial"/>
                <w:sz w:val="20"/>
                <w:szCs w:val="20"/>
              </w:rPr>
              <w:t>four</w:t>
            </w:r>
            <w:r w:rsidRPr="002702D3">
              <w:rPr>
                <w:rFonts w:cs="Arial"/>
                <w:sz w:val="20"/>
                <w:szCs w:val="20"/>
              </w:rPr>
              <w:t xml:space="preserve"> areas of focus for our strategy:</w:t>
            </w:r>
          </w:p>
          <w:p w14:paraId="62E4C5B3" w14:textId="77777777" w:rsidR="002702D3" w:rsidRPr="002702D3" w:rsidRDefault="002702D3" w:rsidP="002702D3">
            <w:pPr>
              <w:pStyle w:val="ListParagraph"/>
              <w:numPr>
                <w:ilvl w:val="0"/>
                <w:numId w:val="34"/>
              </w:numPr>
              <w:spacing w:after="160" w:line="259" w:lineRule="auto"/>
              <w:contextualSpacing/>
              <w:rPr>
                <w:rFonts w:cs="Arial"/>
                <w:b/>
                <w:bCs/>
                <w:sz w:val="20"/>
                <w:szCs w:val="20"/>
              </w:rPr>
            </w:pPr>
            <w:r w:rsidRPr="002702D3">
              <w:rPr>
                <w:rFonts w:cs="Arial"/>
                <w:b/>
                <w:bCs/>
                <w:sz w:val="20"/>
                <w:szCs w:val="20"/>
              </w:rPr>
              <w:t>Student Life</w:t>
            </w:r>
          </w:p>
          <w:p w14:paraId="7D815581" w14:textId="5101E5CB" w:rsidR="002702D3" w:rsidRPr="002702D3" w:rsidRDefault="002702D3" w:rsidP="002702D3">
            <w:pPr>
              <w:pStyle w:val="ListParagraph"/>
              <w:numPr>
                <w:ilvl w:val="0"/>
                <w:numId w:val="34"/>
              </w:numPr>
              <w:spacing w:after="160" w:line="259" w:lineRule="auto"/>
              <w:contextualSpacing/>
              <w:rPr>
                <w:rFonts w:cs="Arial"/>
                <w:b/>
                <w:bCs/>
                <w:sz w:val="20"/>
                <w:szCs w:val="20"/>
              </w:rPr>
            </w:pPr>
            <w:r w:rsidRPr="002702D3">
              <w:rPr>
                <w:rFonts w:cs="Arial"/>
                <w:b/>
                <w:bCs/>
                <w:sz w:val="20"/>
                <w:szCs w:val="20"/>
              </w:rPr>
              <w:t xml:space="preserve">Supporting </w:t>
            </w:r>
            <w:r w:rsidR="00737E28">
              <w:rPr>
                <w:rFonts w:cs="Arial"/>
                <w:b/>
                <w:bCs/>
                <w:sz w:val="20"/>
                <w:szCs w:val="20"/>
              </w:rPr>
              <w:t>O</w:t>
            </w:r>
            <w:r w:rsidRPr="002702D3">
              <w:rPr>
                <w:rFonts w:cs="Arial"/>
                <w:b/>
                <w:bCs/>
                <w:sz w:val="20"/>
                <w:szCs w:val="20"/>
              </w:rPr>
              <w:t>ur Communities</w:t>
            </w:r>
          </w:p>
          <w:p w14:paraId="65BA268E" w14:textId="77777777" w:rsidR="002702D3" w:rsidRPr="002702D3" w:rsidRDefault="002702D3" w:rsidP="002702D3">
            <w:pPr>
              <w:pStyle w:val="ListParagraph"/>
              <w:numPr>
                <w:ilvl w:val="0"/>
                <w:numId w:val="34"/>
              </w:numPr>
              <w:spacing w:after="160" w:line="259" w:lineRule="auto"/>
              <w:contextualSpacing/>
              <w:rPr>
                <w:rFonts w:cs="Arial"/>
                <w:b/>
                <w:sz w:val="20"/>
                <w:szCs w:val="20"/>
              </w:rPr>
            </w:pPr>
            <w:r w:rsidRPr="002702D3">
              <w:rPr>
                <w:rFonts w:cs="Arial"/>
                <w:b/>
                <w:sz w:val="20"/>
                <w:szCs w:val="20"/>
              </w:rPr>
              <w:t>Engagement</w:t>
            </w:r>
          </w:p>
          <w:p w14:paraId="3165F69F" w14:textId="77777777" w:rsidR="002702D3" w:rsidRPr="002702D3" w:rsidRDefault="002702D3" w:rsidP="002702D3">
            <w:pPr>
              <w:pStyle w:val="ListParagraph"/>
              <w:numPr>
                <w:ilvl w:val="0"/>
                <w:numId w:val="34"/>
              </w:numPr>
              <w:spacing w:after="160" w:line="259" w:lineRule="auto"/>
              <w:contextualSpacing/>
              <w:rPr>
                <w:rFonts w:cs="Arial"/>
                <w:b/>
                <w:sz w:val="20"/>
                <w:szCs w:val="20"/>
              </w:rPr>
            </w:pPr>
            <w:r w:rsidRPr="002702D3">
              <w:rPr>
                <w:rFonts w:cs="Arial"/>
                <w:b/>
                <w:sz w:val="20"/>
                <w:szCs w:val="20"/>
              </w:rPr>
              <w:t>Strategic Partnership Working</w:t>
            </w:r>
          </w:p>
          <w:p w14:paraId="38260832" w14:textId="0A941906" w:rsidR="007E7BA9" w:rsidRDefault="002702D3" w:rsidP="00623FC6">
            <w:pPr>
              <w:spacing w:after="120"/>
              <w:rPr>
                <w:rFonts w:cs="Arial"/>
                <w:sz w:val="20"/>
                <w:szCs w:val="20"/>
              </w:rPr>
            </w:pPr>
            <w:r w:rsidRPr="28A157E5">
              <w:rPr>
                <w:rFonts w:cs="Arial"/>
                <w:sz w:val="20"/>
                <w:szCs w:val="20"/>
              </w:rPr>
              <w:t>We will deliver on our strategy by providing our staff and students with opportunities to collaborate</w:t>
            </w:r>
            <w:r w:rsidR="005877FF" w:rsidRPr="28A157E5">
              <w:rPr>
                <w:rFonts w:cs="Arial"/>
                <w:sz w:val="20"/>
                <w:szCs w:val="20"/>
              </w:rPr>
              <w:t xml:space="preserve"> and </w:t>
            </w:r>
            <w:r w:rsidRPr="28A157E5">
              <w:rPr>
                <w:rFonts w:cs="Arial"/>
                <w:sz w:val="20"/>
                <w:szCs w:val="20"/>
              </w:rPr>
              <w:t>to engage in meaningful conversations that challenge ideas in a constructive way, whilst learning from best practice, within and outside of the University.</w:t>
            </w:r>
          </w:p>
          <w:p w14:paraId="6A5B11D9" w14:textId="3A5709F6" w:rsidR="00704306" w:rsidRPr="007E7BA9" w:rsidRDefault="00C97DA2" w:rsidP="00623FC6">
            <w:pPr>
              <w:spacing w:after="120"/>
              <w:rPr>
                <w:rFonts w:cs="Arial"/>
                <w:sz w:val="20"/>
                <w:szCs w:val="20"/>
              </w:rPr>
            </w:pPr>
            <w:r w:rsidRPr="28A157E5">
              <w:rPr>
                <w:rFonts w:cs="Arial"/>
                <w:sz w:val="20"/>
                <w:szCs w:val="20"/>
              </w:rPr>
              <w:t xml:space="preserve"> </w:t>
            </w:r>
          </w:p>
        </w:tc>
      </w:tr>
    </w:tbl>
    <w:p w14:paraId="400BD39D" w14:textId="46D020C3" w:rsidR="00D04D18" w:rsidRDefault="00D04D18" w:rsidP="00A0330B">
      <w:pPr>
        <w:rPr>
          <w:rFonts w:cs="Arial"/>
          <w:sz w:val="22"/>
          <w:szCs w:val="22"/>
        </w:rPr>
      </w:pPr>
    </w:p>
    <w:p w14:paraId="3985C21D" w14:textId="77777777" w:rsidR="00CD6F20" w:rsidRPr="00114E8F" w:rsidRDefault="00CD6F20" w:rsidP="00A0330B">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285752" w:rsidRPr="00114E8F" w14:paraId="268C89FE" w14:textId="77777777" w:rsidTr="00D04D18">
        <w:tc>
          <w:tcPr>
            <w:tcW w:w="9628" w:type="dxa"/>
            <w:tcBorders>
              <w:bottom w:val="single" w:sz="4" w:space="0" w:color="auto"/>
            </w:tcBorders>
            <w:shd w:val="clear" w:color="auto" w:fill="000000" w:themeFill="text1"/>
            <w:vAlign w:val="center"/>
          </w:tcPr>
          <w:p w14:paraId="268C89FD" w14:textId="60BCA28A" w:rsidR="00714538" w:rsidRPr="00114E8F" w:rsidRDefault="00C17918" w:rsidP="002C25FF">
            <w:pPr>
              <w:pStyle w:val="ListParagraph"/>
              <w:numPr>
                <w:ilvl w:val="0"/>
                <w:numId w:val="2"/>
              </w:numPr>
              <w:rPr>
                <w:rFonts w:eastAsia="Calibri" w:cs="Arial"/>
                <w:b/>
                <w:sz w:val="20"/>
                <w:szCs w:val="20"/>
              </w:rPr>
            </w:pPr>
            <w:r w:rsidRPr="00114E8F">
              <w:rPr>
                <w:rFonts w:eastAsia="Calibri" w:cs="Arial"/>
                <w:b/>
                <w:sz w:val="20"/>
                <w:szCs w:val="20"/>
              </w:rPr>
              <w:t>Objectives</w:t>
            </w:r>
          </w:p>
        </w:tc>
      </w:tr>
      <w:tr w:rsidR="00D44348" w:rsidRPr="00313301" w14:paraId="5567F91F" w14:textId="77777777" w:rsidTr="00D04D18">
        <w:tc>
          <w:tcPr>
            <w:tcW w:w="9628" w:type="dxa"/>
            <w:shd w:val="clear" w:color="auto" w:fill="BFBFBF" w:themeFill="background1" w:themeFillShade="BF"/>
          </w:tcPr>
          <w:p w14:paraId="684BE5E4" w14:textId="59ED3BC4" w:rsidR="00D44348" w:rsidRPr="00313301" w:rsidRDefault="00313301" w:rsidP="002C25FF">
            <w:pPr>
              <w:pStyle w:val="ListParagraph"/>
              <w:numPr>
                <w:ilvl w:val="0"/>
                <w:numId w:val="19"/>
              </w:numPr>
              <w:rPr>
                <w:rFonts w:eastAsia="Calibri" w:cs="Arial"/>
                <w:b/>
                <w:bCs/>
                <w:color w:val="000000" w:themeColor="text1"/>
                <w:sz w:val="20"/>
                <w:szCs w:val="20"/>
              </w:rPr>
            </w:pPr>
            <w:r w:rsidRPr="00313301">
              <w:rPr>
                <w:rFonts w:eastAsia="Calibri" w:cs="Arial"/>
                <w:b/>
                <w:bCs/>
                <w:color w:val="000000" w:themeColor="text1"/>
                <w:sz w:val="20"/>
                <w:szCs w:val="20"/>
              </w:rPr>
              <w:t>Student Life</w:t>
            </w:r>
          </w:p>
          <w:p w14:paraId="3FD1243C" w14:textId="4A563569" w:rsidR="00543FB9" w:rsidRPr="00313301" w:rsidRDefault="00543FB9" w:rsidP="00543FB9">
            <w:pPr>
              <w:rPr>
                <w:rFonts w:eastAsia="Calibri" w:cs="Arial"/>
                <w:b/>
                <w:bCs/>
                <w:color w:val="000000" w:themeColor="text1"/>
                <w:sz w:val="20"/>
                <w:szCs w:val="20"/>
              </w:rPr>
            </w:pPr>
          </w:p>
        </w:tc>
      </w:tr>
      <w:tr w:rsidR="00714538" w:rsidRPr="0083131E" w14:paraId="268C8A0D" w14:textId="77777777" w:rsidTr="00D04D18">
        <w:tc>
          <w:tcPr>
            <w:tcW w:w="9628" w:type="dxa"/>
            <w:shd w:val="clear" w:color="auto" w:fill="auto"/>
          </w:tcPr>
          <w:p w14:paraId="1395F6D8" w14:textId="77777777" w:rsidR="002D7293" w:rsidRDefault="00D1496D" w:rsidP="002D7293">
            <w:pPr>
              <w:spacing w:before="120" w:after="120"/>
              <w:rPr>
                <w:rFonts w:cs="Arial"/>
                <w:b/>
                <w:sz w:val="20"/>
                <w:szCs w:val="20"/>
              </w:rPr>
            </w:pPr>
            <w:r w:rsidRPr="002D7293">
              <w:rPr>
                <w:rFonts w:cs="Arial"/>
                <w:b/>
                <w:sz w:val="20"/>
                <w:szCs w:val="20"/>
              </w:rPr>
              <w:t>What do our students think?</w:t>
            </w:r>
          </w:p>
          <w:p w14:paraId="31D371A2" w14:textId="7A0E0A82" w:rsidR="00D1496D" w:rsidRPr="002D7293" w:rsidRDefault="00D1496D" w:rsidP="004A54DF">
            <w:pPr>
              <w:spacing w:after="120"/>
              <w:rPr>
                <w:rFonts w:cs="Arial"/>
                <w:sz w:val="20"/>
                <w:szCs w:val="20"/>
              </w:rPr>
            </w:pPr>
            <w:r w:rsidRPr="002D7293">
              <w:rPr>
                <w:rFonts w:cs="Arial"/>
                <w:sz w:val="20"/>
                <w:szCs w:val="20"/>
              </w:rPr>
              <w:t xml:space="preserve">When it comes to student life on campus, our students highlighted the importance of being able to study in spaces that they can work collaboratively with other students; that they can </w:t>
            </w:r>
            <w:r w:rsidR="008D1022">
              <w:rPr>
                <w:rFonts w:cs="Arial"/>
                <w:sz w:val="20"/>
                <w:szCs w:val="20"/>
              </w:rPr>
              <w:t>work from</w:t>
            </w:r>
            <w:r w:rsidRPr="002D7293">
              <w:rPr>
                <w:rFonts w:cs="Arial"/>
                <w:sz w:val="20"/>
                <w:szCs w:val="20"/>
              </w:rPr>
              <w:t xml:space="preserve"> their own devices </w:t>
            </w:r>
            <w:r w:rsidRPr="002D7293">
              <w:rPr>
                <w:rFonts w:cs="Arial"/>
                <w:sz w:val="20"/>
                <w:szCs w:val="20"/>
              </w:rPr>
              <w:lastRenderedPageBreak/>
              <w:t>without the worry of running out of power; and can also talk, eat and drink in those areas. They particularly valued the opportunities for extracurricular activity, including sport.</w:t>
            </w:r>
          </w:p>
          <w:p w14:paraId="4EEAE9BB" w14:textId="07B61D95" w:rsidR="00CB2F22" w:rsidRPr="002D7293" w:rsidRDefault="00D1496D" w:rsidP="00D1496D">
            <w:pPr>
              <w:rPr>
                <w:rFonts w:cs="Arial"/>
                <w:sz w:val="20"/>
                <w:szCs w:val="20"/>
              </w:rPr>
            </w:pPr>
            <w:r w:rsidRPr="002D7293">
              <w:rPr>
                <w:rFonts w:cs="Arial"/>
                <w:sz w:val="20"/>
                <w:szCs w:val="20"/>
              </w:rPr>
              <w:t xml:space="preserve">Students highlighted that they particularly enjoy campaigns such as the Students’ Union’s </w:t>
            </w:r>
            <w:proofErr w:type="spellStart"/>
            <w:r w:rsidRPr="002D7293">
              <w:rPr>
                <w:rFonts w:cs="Arial"/>
                <w:sz w:val="20"/>
                <w:szCs w:val="20"/>
              </w:rPr>
              <w:t>Studyaid</w:t>
            </w:r>
            <w:proofErr w:type="spellEnd"/>
            <w:r w:rsidRPr="002D7293">
              <w:rPr>
                <w:rFonts w:cs="Arial"/>
                <w:sz w:val="20"/>
                <w:szCs w:val="20"/>
              </w:rPr>
              <w:t xml:space="preserve"> – which provide students with tea/coffee and free food, in areas such as the </w:t>
            </w:r>
            <w:proofErr w:type="gramStart"/>
            <w:r w:rsidRPr="002D7293">
              <w:rPr>
                <w:rFonts w:cs="Arial"/>
                <w:sz w:val="20"/>
                <w:szCs w:val="20"/>
              </w:rPr>
              <w:t>Library</w:t>
            </w:r>
            <w:proofErr w:type="gramEnd"/>
            <w:r w:rsidRPr="002D7293">
              <w:rPr>
                <w:rFonts w:cs="Arial"/>
                <w:sz w:val="20"/>
                <w:szCs w:val="20"/>
              </w:rPr>
              <w:t xml:space="preserve"> and foyers with communal seating, in order to give students a break from their studies and promote wellbeing.</w:t>
            </w:r>
          </w:p>
          <w:p w14:paraId="01FD1AAD" w14:textId="77777777" w:rsidR="00D1496D" w:rsidRPr="002D7293" w:rsidRDefault="00D1496D" w:rsidP="00CB2F22">
            <w:pPr>
              <w:spacing w:before="120" w:after="120"/>
              <w:rPr>
                <w:rFonts w:cs="Arial"/>
                <w:b/>
                <w:sz w:val="20"/>
                <w:szCs w:val="20"/>
              </w:rPr>
            </w:pPr>
            <w:r w:rsidRPr="002D7293">
              <w:rPr>
                <w:rFonts w:cs="Arial"/>
                <w:b/>
                <w:sz w:val="20"/>
                <w:szCs w:val="20"/>
              </w:rPr>
              <w:t>Our commitment:</w:t>
            </w:r>
          </w:p>
          <w:p w14:paraId="65F5140B" w14:textId="03A42529" w:rsidR="00D1496D" w:rsidRPr="002D7293" w:rsidRDefault="00D1496D" w:rsidP="00D1496D">
            <w:pPr>
              <w:rPr>
                <w:rFonts w:cs="Arial"/>
                <w:sz w:val="20"/>
                <w:szCs w:val="20"/>
              </w:rPr>
            </w:pPr>
            <w:r w:rsidRPr="002D7293">
              <w:rPr>
                <w:rFonts w:cs="Arial"/>
                <w:sz w:val="20"/>
                <w:szCs w:val="20"/>
              </w:rPr>
              <w:t xml:space="preserve">We are committed to physical and virtual environments that are inclusive; support students’ lifestyle choices and provide high quality, sustainable </w:t>
            </w:r>
            <w:r w:rsidR="00944AA2" w:rsidRPr="002D7293">
              <w:rPr>
                <w:rFonts w:cs="Arial"/>
                <w:sz w:val="20"/>
                <w:szCs w:val="20"/>
              </w:rPr>
              <w:t>facilities,</w:t>
            </w:r>
            <w:r w:rsidRPr="002D7293">
              <w:rPr>
                <w:rFonts w:cs="Arial"/>
                <w:sz w:val="20"/>
                <w:szCs w:val="20"/>
              </w:rPr>
              <w:t xml:space="preserve"> and services</w:t>
            </w:r>
            <w:r w:rsidR="005C152A">
              <w:rPr>
                <w:rFonts w:cs="Arial"/>
                <w:sz w:val="20"/>
                <w:szCs w:val="20"/>
              </w:rPr>
              <w:t>,</w:t>
            </w:r>
            <w:r w:rsidRPr="002D7293">
              <w:rPr>
                <w:rFonts w:cs="Arial"/>
                <w:sz w:val="20"/>
                <w:szCs w:val="20"/>
              </w:rPr>
              <w:t xml:space="preserve"> regardless of location. We will include opportunities for student-centred services and facilities design. We will increase and enhance opportunities for student group activities: social learning, group working and opportunities for extracurricular activity. We will promote these on our physical campuses and virtual learning environments, to ensure they meet the needs of our students. </w:t>
            </w:r>
          </w:p>
          <w:p w14:paraId="060EE8DB" w14:textId="13EE892A" w:rsidR="00D1496D" w:rsidRPr="002D7293" w:rsidRDefault="001927F1" w:rsidP="00944AA2">
            <w:pPr>
              <w:spacing w:before="120" w:after="120"/>
              <w:rPr>
                <w:rFonts w:cs="Arial"/>
                <w:b/>
                <w:bCs/>
                <w:sz w:val="20"/>
                <w:szCs w:val="20"/>
              </w:rPr>
            </w:pPr>
            <w:r>
              <w:rPr>
                <w:rFonts w:cs="Arial"/>
                <w:b/>
                <w:bCs/>
                <w:sz w:val="20"/>
                <w:szCs w:val="20"/>
              </w:rPr>
              <w:t>T</w:t>
            </w:r>
            <w:r w:rsidR="00D1496D" w:rsidRPr="002D7293">
              <w:rPr>
                <w:rFonts w:cs="Arial"/>
                <w:b/>
                <w:bCs/>
                <w:sz w:val="20"/>
                <w:szCs w:val="20"/>
              </w:rPr>
              <w:t>o achieve this, we will:</w:t>
            </w:r>
          </w:p>
          <w:p w14:paraId="0507D189" w14:textId="5568917A" w:rsidR="00D1496D" w:rsidRPr="00F456BE" w:rsidRDefault="00D1496D" w:rsidP="00252555">
            <w:pPr>
              <w:spacing w:before="120" w:after="120"/>
              <w:jc w:val="center"/>
              <w:rPr>
                <w:rFonts w:cs="Arial"/>
                <w:i/>
                <w:iCs/>
                <w:sz w:val="20"/>
                <w:szCs w:val="20"/>
              </w:rPr>
            </w:pPr>
            <w:r w:rsidRPr="00F456BE">
              <w:rPr>
                <w:rFonts w:cs="Arial"/>
                <w:i/>
                <w:iCs/>
                <w:sz w:val="20"/>
                <w:szCs w:val="20"/>
              </w:rPr>
              <w:t>Spaces</w:t>
            </w:r>
          </w:p>
          <w:p w14:paraId="17FE1C2F" w14:textId="28D2F0F0" w:rsidR="00D1496D" w:rsidRPr="002D7293" w:rsidRDefault="00D1496D" w:rsidP="00387E89">
            <w:pPr>
              <w:pStyle w:val="ListParagraph"/>
              <w:numPr>
                <w:ilvl w:val="0"/>
                <w:numId w:val="35"/>
              </w:numPr>
              <w:spacing w:after="120" w:line="259" w:lineRule="auto"/>
              <w:rPr>
                <w:rFonts w:cs="Arial"/>
                <w:sz w:val="20"/>
                <w:szCs w:val="20"/>
              </w:rPr>
            </w:pPr>
            <w:r w:rsidRPr="002D7293">
              <w:rPr>
                <w:rFonts w:cs="Arial"/>
                <w:sz w:val="20"/>
                <w:szCs w:val="20"/>
              </w:rPr>
              <w:t>Ensure our Estates-planning is student driven, by increasing opportunities for student</w:t>
            </w:r>
            <w:r w:rsidR="0025523C">
              <w:rPr>
                <w:rFonts w:cs="Arial"/>
                <w:sz w:val="20"/>
                <w:szCs w:val="20"/>
              </w:rPr>
              <w:t>-</w:t>
            </w:r>
            <w:r w:rsidRPr="002D7293">
              <w:rPr>
                <w:rFonts w:cs="Arial"/>
                <w:sz w:val="20"/>
                <w:szCs w:val="20"/>
              </w:rPr>
              <w:t>centred facility design within our structures</w:t>
            </w:r>
            <w:r w:rsidR="00D4039C">
              <w:rPr>
                <w:rFonts w:cs="Arial"/>
                <w:sz w:val="20"/>
                <w:szCs w:val="20"/>
              </w:rPr>
              <w:t>.</w:t>
            </w:r>
          </w:p>
          <w:p w14:paraId="53876E07" w14:textId="77777777" w:rsidR="0082561E" w:rsidRDefault="00D1496D" w:rsidP="00387E89">
            <w:pPr>
              <w:pStyle w:val="ListParagraph"/>
              <w:numPr>
                <w:ilvl w:val="0"/>
                <w:numId w:val="35"/>
              </w:numPr>
              <w:spacing w:after="120" w:line="259" w:lineRule="auto"/>
              <w:rPr>
                <w:rFonts w:cs="Arial"/>
                <w:sz w:val="20"/>
                <w:szCs w:val="20"/>
              </w:rPr>
            </w:pPr>
            <w:r w:rsidRPr="002D7293">
              <w:rPr>
                <w:rFonts w:cs="Arial"/>
                <w:sz w:val="20"/>
                <w:szCs w:val="20"/>
              </w:rPr>
              <w:t>Increase and enhance our student social spaces to ensure they exceed the needs of our students for social learning and group working activities, including support for a ‘bring your own device’ option.</w:t>
            </w:r>
          </w:p>
          <w:p w14:paraId="37D110F1" w14:textId="2FDD3001" w:rsidR="00D1496D" w:rsidRPr="0082561E" w:rsidRDefault="00D1496D" w:rsidP="00387E89">
            <w:pPr>
              <w:pStyle w:val="ListParagraph"/>
              <w:numPr>
                <w:ilvl w:val="0"/>
                <w:numId w:val="35"/>
              </w:numPr>
              <w:spacing w:after="120" w:line="259" w:lineRule="auto"/>
              <w:rPr>
                <w:rFonts w:cs="Arial"/>
                <w:sz w:val="20"/>
                <w:szCs w:val="20"/>
              </w:rPr>
            </w:pPr>
            <w:r w:rsidRPr="0082561E">
              <w:rPr>
                <w:rFonts w:cs="Arial"/>
                <w:sz w:val="20"/>
                <w:szCs w:val="20"/>
              </w:rPr>
              <w:t xml:space="preserve">Ensure students are able to find their way around our campus and gain access to the service and facilities they need, by making better use of maps, signage and online content to ease way finding, particularly for our new students.  </w:t>
            </w:r>
          </w:p>
          <w:p w14:paraId="6A83CC2F" w14:textId="09553E60" w:rsidR="00D1496D" w:rsidRPr="00F456BE" w:rsidRDefault="00D1496D" w:rsidP="00252555">
            <w:pPr>
              <w:spacing w:before="120" w:after="120"/>
              <w:jc w:val="center"/>
              <w:rPr>
                <w:rFonts w:cs="Arial"/>
                <w:i/>
                <w:iCs/>
                <w:sz w:val="20"/>
                <w:szCs w:val="20"/>
              </w:rPr>
            </w:pPr>
            <w:r w:rsidRPr="00F456BE">
              <w:rPr>
                <w:rFonts w:cs="Arial"/>
                <w:i/>
                <w:iCs/>
                <w:sz w:val="20"/>
                <w:szCs w:val="20"/>
              </w:rPr>
              <w:t>Catering</w:t>
            </w:r>
          </w:p>
          <w:p w14:paraId="5D3D10B9" w14:textId="483978DA" w:rsidR="00D1496D" w:rsidRPr="002D7293" w:rsidRDefault="00D1496D" w:rsidP="00B031A4">
            <w:pPr>
              <w:pStyle w:val="ListParagraph"/>
              <w:numPr>
                <w:ilvl w:val="0"/>
                <w:numId w:val="35"/>
              </w:numPr>
              <w:spacing w:after="120" w:line="259" w:lineRule="auto"/>
              <w:rPr>
                <w:rFonts w:cs="Arial"/>
                <w:b/>
                <w:bCs/>
                <w:sz w:val="20"/>
                <w:szCs w:val="20"/>
              </w:rPr>
            </w:pPr>
            <w:r w:rsidRPr="002D7293">
              <w:rPr>
                <w:rFonts w:cs="Arial"/>
                <w:sz w:val="20"/>
                <w:szCs w:val="20"/>
              </w:rPr>
              <w:t>Increase our catering offer to provide more student friendly choice at competitive prices</w:t>
            </w:r>
            <w:r w:rsidR="00795C7D">
              <w:rPr>
                <w:rFonts w:cs="Arial"/>
                <w:sz w:val="20"/>
                <w:szCs w:val="20"/>
              </w:rPr>
              <w:t>.</w:t>
            </w:r>
          </w:p>
          <w:p w14:paraId="0AB76765" w14:textId="52432EDE" w:rsidR="00D1496D" w:rsidRPr="002D7293" w:rsidRDefault="00D1496D" w:rsidP="00B031A4">
            <w:pPr>
              <w:pStyle w:val="ListParagraph"/>
              <w:numPr>
                <w:ilvl w:val="0"/>
                <w:numId w:val="35"/>
              </w:numPr>
              <w:spacing w:after="120" w:line="259" w:lineRule="auto"/>
              <w:rPr>
                <w:rFonts w:cs="Arial"/>
                <w:sz w:val="20"/>
                <w:szCs w:val="20"/>
              </w:rPr>
            </w:pPr>
            <w:r w:rsidRPr="002D7293">
              <w:rPr>
                <w:rFonts w:cs="Arial"/>
                <w:sz w:val="20"/>
                <w:szCs w:val="20"/>
              </w:rPr>
              <w:t xml:space="preserve">Provide food and drink choices shaped by budget, health and lifestyle and culture, including access to facilities in order to support those who wish to bring their own food. </w:t>
            </w:r>
          </w:p>
          <w:p w14:paraId="39064D88" w14:textId="63DCC53D" w:rsidR="00D1496D" w:rsidRPr="002D7293" w:rsidRDefault="00D1496D" w:rsidP="00B031A4">
            <w:pPr>
              <w:pStyle w:val="ListParagraph"/>
              <w:numPr>
                <w:ilvl w:val="0"/>
                <w:numId w:val="35"/>
              </w:numPr>
              <w:spacing w:after="120" w:line="259" w:lineRule="auto"/>
              <w:rPr>
                <w:rFonts w:cs="Arial"/>
                <w:sz w:val="20"/>
                <w:szCs w:val="20"/>
              </w:rPr>
            </w:pPr>
            <w:r w:rsidRPr="002D7293">
              <w:rPr>
                <w:rFonts w:cs="Arial"/>
                <w:sz w:val="20"/>
                <w:szCs w:val="20"/>
              </w:rPr>
              <w:t>Develop our student focussed food option across campus, in the right places, so access is easy for all, regardless of where you are studying including the possibility of a central refectory as a catering outlet for students</w:t>
            </w:r>
            <w:r w:rsidR="00387E89">
              <w:rPr>
                <w:rFonts w:cs="Arial"/>
                <w:sz w:val="20"/>
                <w:szCs w:val="20"/>
              </w:rPr>
              <w:t>.</w:t>
            </w:r>
          </w:p>
          <w:p w14:paraId="41D92AF4" w14:textId="7E89F31F" w:rsidR="00D1496D" w:rsidRPr="00D336B3" w:rsidRDefault="00D1496D" w:rsidP="00252555">
            <w:pPr>
              <w:spacing w:before="120" w:after="120"/>
              <w:jc w:val="center"/>
              <w:rPr>
                <w:rFonts w:cs="Arial"/>
                <w:i/>
                <w:iCs/>
                <w:sz w:val="20"/>
                <w:szCs w:val="20"/>
              </w:rPr>
            </w:pPr>
            <w:r w:rsidRPr="00D336B3">
              <w:rPr>
                <w:rFonts w:cs="Arial"/>
                <w:i/>
                <w:iCs/>
                <w:sz w:val="20"/>
                <w:szCs w:val="20"/>
              </w:rPr>
              <w:t>Halls</w:t>
            </w:r>
          </w:p>
          <w:p w14:paraId="4351B698" w14:textId="16D4AA6B" w:rsidR="00D1496D" w:rsidRPr="002D7293" w:rsidRDefault="00D1496D" w:rsidP="00B031A4">
            <w:pPr>
              <w:pStyle w:val="ListParagraph"/>
              <w:numPr>
                <w:ilvl w:val="0"/>
                <w:numId w:val="35"/>
              </w:numPr>
              <w:spacing w:after="120" w:line="259" w:lineRule="auto"/>
              <w:rPr>
                <w:rFonts w:cs="Arial"/>
                <w:sz w:val="20"/>
                <w:szCs w:val="20"/>
              </w:rPr>
            </w:pPr>
            <w:r w:rsidRPr="002D7293">
              <w:rPr>
                <w:rFonts w:cs="Arial"/>
                <w:sz w:val="20"/>
                <w:szCs w:val="20"/>
              </w:rPr>
              <w:t>Continue to develop our Campus Life programme to provide opportunities for students living in University Accommodation</w:t>
            </w:r>
            <w:r w:rsidR="003A4FDD">
              <w:rPr>
                <w:rFonts w:cs="Arial"/>
                <w:sz w:val="20"/>
                <w:szCs w:val="20"/>
              </w:rPr>
              <w:t>.</w:t>
            </w:r>
          </w:p>
          <w:p w14:paraId="30D6CAE6" w14:textId="779A84F0" w:rsidR="00D1496D" w:rsidRPr="002D7293" w:rsidRDefault="00D1496D" w:rsidP="00B031A4">
            <w:pPr>
              <w:pStyle w:val="ListParagraph"/>
              <w:numPr>
                <w:ilvl w:val="0"/>
                <w:numId w:val="35"/>
              </w:numPr>
              <w:spacing w:after="120" w:line="259" w:lineRule="auto"/>
              <w:rPr>
                <w:rFonts w:cs="Arial"/>
                <w:sz w:val="20"/>
                <w:szCs w:val="20"/>
              </w:rPr>
            </w:pPr>
            <w:r w:rsidRPr="002D7293">
              <w:rPr>
                <w:rFonts w:cs="Arial"/>
                <w:sz w:val="20"/>
                <w:szCs w:val="20"/>
              </w:rPr>
              <w:t xml:space="preserve">Develop our Campus and Halls offering in order to provide opportunities for our living at </w:t>
            </w:r>
            <w:proofErr w:type="gramStart"/>
            <w:r w:rsidRPr="002D7293">
              <w:rPr>
                <w:rFonts w:cs="Arial"/>
                <w:sz w:val="20"/>
                <w:szCs w:val="20"/>
              </w:rPr>
              <w:t>Home</w:t>
            </w:r>
            <w:proofErr w:type="gramEnd"/>
            <w:r w:rsidRPr="002D7293">
              <w:rPr>
                <w:rFonts w:cs="Arial"/>
                <w:sz w:val="20"/>
                <w:szCs w:val="20"/>
              </w:rPr>
              <w:t xml:space="preserve"> students; building on our success of Campus Life and one night stay options to promote more opportunities for live at home students to stay on campus</w:t>
            </w:r>
            <w:r w:rsidR="003A4FDD">
              <w:rPr>
                <w:rFonts w:cs="Arial"/>
                <w:sz w:val="20"/>
                <w:szCs w:val="20"/>
              </w:rPr>
              <w:t>.</w:t>
            </w:r>
          </w:p>
          <w:p w14:paraId="5F653276" w14:textId="0D131BD2" w:rsidR="001927F1" w:rsidRPr="001927F1" w:rsidRDefault="00D1496D" w:rsidP="00B031A4">
            <w:pPr>
              <w:pStyle w:val="ListParagraph"/>
              <w:numPr>
                <w:ilvl w:val="0"/>
                <w:numId w:val="35"/>
              </w:numPr>
              <w:spacing w:after="120" w:line="259" w:lineRule="auto"/>
              <w:rPr>
                <w:rFonts w:cs="Arial"/>
                <w:sz w:val="20"/>
                <w:szCs w:val="20"/>
              </w:rPr>
            </w:pPr>
            <w:r w:rsidRPr="002D7293">
              <w:rPr>
                <w:rFonts w:cs="Arial"/>
                <w:sz w:val="20"/>
                <w:szCs w:val="20"/>
              </w:rPr>
              <w:t xml:space="preserve">Continue to invest and develop our diverse range of accommodation types such as in Alcohol-free, Quiet and Postgraduate only halls, </w:t>
            </w:r>
            <w:r w:rsidR="00EB3317" w:rsidRPr="002D7293">
              <w:rPr>
                <w:rFonts w:cs="Arial"/>
                <w:sz w:val="20"/>
                <w:szCs w:val="20"/>
              </w:rPr>
              <w:t>to</w:t>
            </w:r>
            <w:r w:rsidRPr="002D7293">
              <w:rPr>
                <w:rFonts w:cs="Arial"/>
                <w:sz w:val="20"/>
                <w:szCs w:val="20"/>
              </w:rPr>
              <w:t xml:space="preserve"> provide students with a living environment that suits their needs.</w:t>
            </w:r>
          </w:p>
          <w:p w14:paraId="2024FD61" w14:textId="28032572" w:rsidR="00D1496D" w:rsidRPr="00F456BE" w:rsidRDefault="00D1496D" w:rsidP="00252555">
            <w:pPr>
              <w:spacing w:before="120" w:after="120"/>
              <w:jc w:val="center"/>
              <w:rPr>
                <w:rFonts w:cs="Arial"/>
                <w:i/>
                <w:iCs/>
                <w:sz w:val="20"/>
                <w:szCs w:val="20"/>
              </w:rPr>
            </w:pPr>
            <w:r w:rsidRPr="00F456BE">
              <w:rPr>
                <w:rFonts w:cs="Arial"/>
                <w:i/>
                <w:iCs/>
                <w:sz w:val="20"/>
                <w:szCs w:val="20"/>
              </w:rPr>
              <w:t xml:space="preserve">Extracurricular </w:t>
            </w:r>
            <w:r w:rsidR="00252555" w:rsidRPr="00F456BE">
              <w:rPr>
                <w:rFonts w:cs="Arial"/>
                <w:i/>
                <w:iCs/>
                <w:sz w:val="20"/>
                <w:szCs w:val="20"/>
              </w:rPr>
              <w:t>A</w:t>
            </w:r>
            <w:r w:rsidRPr="00F456BE">
              <w:rPr>
                <w:rFonts w:cs="Arial"/>
                <w:i/>
                <w:iCs/>
                <w:sz w:val="20"/>
                <w:szCs w:val="20"/>
              </w:rPr>
              <w:t>ctivit</w:t>
            </w:r>
            <w:r w:rsidR="00012025" w:rsidRPr="00F456BE">
              <w:rPr>
                <w:rFonts w:cs="Arial"/>
                <w:i/>
                <w:iCs/>
                <w:sz w:val="20"/>
                <w:szCs w:val="20"/>
              </w:rPr>
              <w:t>y</w:t>
            </w:r>
          </w:p>
          <w:p w14:paraId="46192EEE" w14:textId="0B5DD8FB" w:rsidR="00D1496D" w:rsidRPr="002D7293" w:rsidRDefault="00D1496D" w:rsidP="00EB3317">
            <w:pPr>
              <w:pStyle w:val="ListParagraph"/>
              <w:numPr>
                <w:ilvl w:val="0"/>
                <w:numId w:val="35"/>
              </w:numPr>
              <w:spacing w:after="120" w:line="259" w:lineRule="auto"/>
              <w:rPr>
                <w:rFonts w:cs="Arial"/>
                <w:sz w:val="20"/>
                <w:szCs w:val="20"/>
              </w:rPr>
            </w:pPr>
            <w:r w:rsidRPr="002D7293">
              <w:rPr>
                <w:rFonts w:cs="Arial"/>
                <w:sz w:val="20"/>
                <w:szCs w:val="20"/>
              </w:rPr>
              <w:t>Continue our commitment to free clubs and societies, and related free extracurricular activity such as Languages for All.</w:t>
            </w:r>
          </w:p>
          <w:p w14:paraId="4F2A3F3F" w14:textId="77777777" w:rsidR="00D1496D" w:rsidRPr="002D7293" w:rsidRDefault="00D1496D" w:rsidP="00EB3317">
            <w:pPr>
              <w:pStyle w:val="ListParagraph"/>
              <w:numPr>
                <w:ilvl w:val="0"/>
                <w:numId w:val="35"/>
              </w:numPr>
              <w:spacing w:after="120" w:line="259" w:lineRule="auto"/>
              <w:rPr>
                <w:rFonts w:cs="Arial"/>
                <w:sz w:val="20"/>
                <w:szCs w:val="20"/>
              </w:rPr>
            </w:pPr>
            <w:r w:rsidRPr="002D7293">
              <w:rPr>
                <w:rFonts w:cs="Arial"/>
                <w:sz w:val="20"/>
                <w:szCs w:val="20"/>
              </w:rPr>
              <w:t xml:space="preserve">Continue our commitment to Wednesday afternoons free for sport, seeking to grow engagement opportunities for outdoor activities. </w:t>
            </w:r>
          </w:p>
          <w:p w14:paraId="268C8A0C" w14:textId="66561A2F" w:rsidR="00EB3317" w:rsidRPr="00EB3317" w:rsidRDefault="00D1496D" w:rsidP="00EB3317">
            <w:pPr>
              <w:pStyle w:val="ListParagraph"/>
              <w:numPr>
                <w:ilvl w:val="0"/>
                <w:numId w:val="35"/>
              </w:numPr>
              <w:spacing w:after="240" w:line="259" w:lineRule="auto"/>
              <w:rPr>
                <w:rFonts w:cs="Arial"/>
                <w:sz w:val="20"/>
                <w:szCs w:val="20"/>
              </w:rPr>
            </w:pPr>
            <w:r w:rsidRPr="002D7293">
              <w:rPr>
                <w:rFonts w:cs="Arial"/>
                <w:sz w:val="20"/>
                <w:szCs w:val="20"/>
              </w:rPr>
              <w:t>Continue our commitment other activities which broaden the joint work between staff and students, such as involvement in Validations, and the Student Led Teaching Awards.</w:t>
            </w:r>
          </w:p>
        </w:tc>
      </w:tr>
      <w:tr w:rsidR="00714538" w:rsidRPr="004534A4" w14:paraId="1916FA0F" w14:textId="77777777" w:rsidTr="00D04D18">
        <w:tc>
          <w:tcPr>
            <w:tcW w:w="9628" w:type="dxa"/>
            <w:shd w:val="clear" w:color="auto" w:fill="BFBFBF" w:themeFill="background1" w:themeFillShade="BF"/>
          </w:tcPr>
          <w:p w14:paraId="149D3D05" w14:textId="431CE7C9" w:rsidR="00714538" w:rsidRPr="004534A4" w:rsidRDefault="004534A4" w:rsidP="0066562C">
            <w:pPr>
              <w:pStyle w:val="ListParagraph"/>
              <w:numPr>
                <w:ilvl w:val="0"/>
                <w:numId w:val="19"/>
              </w:numPr>
              <w:rPr>
                <w:rFonts w:eastAsia="Calibri" w:cs="Arial"/>
                <w:b/>
                <w:bCs/>
                <w:color w:val="000000" w:themeColor="text1"/>
                <w:sz w:val="20"/>
                <w:szCs w:val="20"/>
              </w:rPr>
            </w:pPr>
            <w:r w:rsidRPr="004534A4">
              <w:rPr>
                <w:rFonts w:eastAsia="Calibri" w:cs="Arial"/>
                <w:b/>
                <w:bCs/>
                <w:color w:val="000000" w:themeColor="text1"/>
                <w:sz w:val="20"/>
                <w:szCs w:val="20"/>
              </w:rPr>
              <w:lastRenderedPageBreak/>
              <w:t>Supporting Our Communities</w:t>
            </w:r>
          </w:p>
          <w:p w14:paraId="60F10343" w14:textId="4F413BBA" w:rsidR="00543FB9" w:rsidRPr="004534A4" w:rsidRDefault="00543FB9" w:rsidP="00816BC4">
            <w:pPr>
              <w:rPr>
                <w:rFonts w:eastAsia="Calibri" w:cs="Arial"/>
                <w:b/>
                <w:bCs/>
                <w:color w:val="000000" w:themeColor="text1"/>
                <w:sz w:val="20"/>
                <w:szCs w:val="20"/>
              </w:rPr>
            </w:pPr>
          </w:p>
        </w:tc>
      </w:tr>
      <w:tr w:rsidR="00714538" w:rsidRPr="0083131E" w14:paraId="0E34845F" w14:textId="77777777" w:rsidTr="00D04D18">
        <w:tc>
          <w:tcPr>
            <w:tcW w:w="9628" w:type="dxa"/>
            <w:shd w:val="clear" w:color="auto" w:fill="auto"/>
          </w:tcPr>
          <w:p w14:paraId="49BF9A68" w14:textId="77777777" w:rsidR="000F2899" w:rsidRDefault="00C532B9" w:rsidP="000F2899">
            <w:pPr>
              <w:spacing w:before="120" w:after="120"/>
              <w:rPr>
                <w:rFonts w:cs="Arial"/>
                <w:b/>
                <w:sz w:val="20"/>
                <w:szCs w:val="20"/>
              </w:rPr>
            </w:pPr>
            <w:r w:rsidRPr="00C532B9">
              <w:rPr>
                <w:rFonts w:cs="Arial"/>
                <w:b/>
                <w:sz w:val="20"/>
                <w:szCs w:val="20"/>
              </w:rPr>
              <w:t>What do our students think?</w:t>
            </w:r>
          </w:p>
          <w:p w14:paraId="634BD1F0" w14:textId="40C46766" w:rsidR="00C532B9" w:rsidRPr="00C532B9" w:rsidRDefault="00C532B9" w:rsidP="00FF38CB">
            <w:pPr>
              <w:spacing w:after="120"/>
              <w:rPr>
                <w:rFonts w:cs="Arial"/>
                <w:b/>
                <w:sz w:val="20"/>
                <w:szCs w:val="20"/>
              </w:rPr>
            </w:pPr>
            <w:r w:rsidRPr="00C532B9">
              <w:rPr>
                <w:rFonts w:cs="Arial"/>
                <w:sz w:val="20"/>
                <w:szCs w:val="20"/>
              </w:rPr>
              <w:lastRenderedPageBreak/>
              <w:t>Bangor University</w:t>
            </w:r>
            <w:r w:rsidRPr="00C532B9">
              <w:rPr>
                <w:rFonts w:cs="Arial"/>
                <w:b/>
                <w:sz w:val="20"/>
                <w:szCs w:val="20"/>
              </w:rPr>
              <w:t xml:space="preserve"> </w:t>
            </w:r>
            <w:r w:rsidRPr="00C532B9">
              <w:rPr>
                <w:rFonts w:cs="Arial"/>
                <w:sz w:val="20"/>
                <w:szCs w:val="20"/>
              </w:rPr>
              <w:t>is an institution</w:t>
            </w:r>
            <w:r w:rsidRPr="00C532B9">
              <w:rPr>
                <w:rFonts w:cs="Arial"/>
                <w:b/>
                <w:sz w:val="20"/>
                <w:szCs w:val="20"/>
              </w:rPr>
              <w:t xml:space="preserve"> </w:t>
            </w:r>
            <w:r w:rsidRPr="00C532B9">
              <w:rPr>
                <w:rFonts w:cs="Arial"/>
                <w:sz w:val="20"/>
                <w:szCs w:val="20"/>
              </w:rPr>
              <w:t xml:space="preserve">that cares about its students. When asked, our students highlighted the ‘friendliness’ and ‘supportiveness’ of staff as being one of the best aspects of studying at Bangor. </w:t>
            </w:r>
          </w:p>
          <w:p w14:paraId="6EC1DD32" w14:textId="77777777" w:rsidR="00C532B9" w:rsidRPr="00C532B9" w:rsidRDefault="00C532B9" w:rsidP="005E634B">
            <w:pPr>
              <w:spacing w:after="120"/>
              <w:rPr>
                <w:rFonts w:cs="Arial"/>
                <w:sz w:val="20"/>
                <w:szCs w:val="20"/>
              </w:rPr>
            </w:pPr>
            <w:r w:rsidRPr="00C532B9">
              <w:rPr>
                <w:rFonts w:cs="Arial"/>
                <w:sz w:val="20"/>
                <w:szCs w:val="20"/>
              </w:rPr>
              <w:t>Our students strongly identify with their academic school and a sense of belonging is important to them, something that is echoed in our 2020-2022 Student-led Mental Health and Wellbeing strategy. This is particularly important in our postgraduate communities, too.</w:t>
            </w:r>
          </w:p>
          <w:p w14:paraId="1E4FAE6B" w14:textId="77777777" w:rsidR="00C532B9" w:rsidRPr="00C532B9" w:rsidRDefault="00C532B9" w:rsidP="005E634B">
            <w:pPr>
              <w:spacing w:after="120"/>
              <w:rPr>
                <w:rFonts w:cs="Arial"/>
                <w:sz w:val="20"/>
                <w:szCs w:val="20"/>
              </w:rPr>
            </w:pPr>
            <w:r w:rsidRPr="00C532B9">
              <w:rPr>
                <w:rFonts w:cs="Arial"/>
                <w:sz w:val="20"/>
                <w:szCs w:val="20"/>
              </w:rPr>
              <w:t xml:space="preserve">Students enjoy socialising with others in an environment that is safe, and students welcome the broad range of opportunities available to them, particularly through free membership to Students’ Union clubs and societies. </w:t>
            </w:r>
          </w:p>
          <w:p w14:paraId="71E2FE08" w14:textId="77777777" w:rsidR="00C532B9" w:rsidRPr="00C532B9" w:rsidRDefault="00C532B9" w:rsidP="005E634B">
            <w:pPr>
              <w:spacing w:before="120" w:after="120"/>
              <w:rPr>
                <w:rFonts w:cs="Arial"/>
                <w:sz w:val="20"/>
                <w:szCs w:val="20"/>
              </w:rPr>
            </w:pPr>
            <w:r w:rsidRPr="00C532B9">
              <w:rPr>
                <w:rFonts w:cs="Arial"/>
                <w:b/>
                <w:sz w:val="20"/>
                <w:szCs w:val="20"/>
              </w:rPr>
              <w:t>Our Commitment:</w:t>
            </w:r>
            <w:r w:rsidRPr="00C532B9">
              <w:rPr>
                <w:rFonts w:cs="Arial"/>
                <w:sz w:val="20"/>
                <w:szCs w:val="20"/>
              </w:rPr>
              <w:t xml:space="preserve"> </w:t>
            </w:r>
          </w:p>
          <w:p w14:paraId="2C387DD5" w14:textId="77777777" w:rsidR="00C532B9" w:rsidRPr="00C532B9" w:rsidRDefault="00C532B9" w:rsidP="005E634B">
            <w:pPr>
              <w:spacing w:after="120"/>
              <w:rPr>
                <w:rFonts w:cs="Arial"/>
                <w:sz w:val="20"/>
                <w:szCs w:val="20"/>
              </w:rPr>
            </w:pPr>
            <w:r w:rsidRPr="00C532B9">
              <w:rPr>
                <w:rFonts w:cs="Arial"/>
                <w:sz w:val="20"/>
                <w:szCs w:val="20"/>
              </w:rPr>
              <w:t>We will celebrate diversity and provide students with an experience that is meaningful and purposeful. Our students come from a broad range of backgrounds and cultures and have varying responsibilities and access needs; we will ensure our services and facilities are accessible and that students can relate to the opportunities that are available to them, across all levels of study.</w:t>
            </w:r>
          </w:p>
          <w:p w14:paraId="0E4010D9" w14:textId="358201B0" w:rsidR="00C532B9" w:rsidRPr="00C532B9" w:rsidRDefault="00743992" w:rsidP="00743992">
            <w:pPr>
              <w:spacing w:before="120" w:after="120"/>
              <w:rPr>
                <w:rFonts w:cs="Arial"/>
                <w:b/>
                <w:bCs/>
                <w:sz w:val="20"/>
                <w:szCs w:val="20"/>
              </w:rPr>
            </w:pPr>
            <w:r w:rsidRPr="00C532B9">
              <w:rPr>
                <w:rFonts w:cs="Arial"/>
                <w:b/>
                <w:bCs/>
                <w:sz w:val="20"/>
                <w:szCs w:val="20"/>
              </w:rPr>
              <w:t>To</w:t>
            </w:r>
            <w:r w:rsidR="00C532B9" w:rsidRPr="00C532B9">
              <w:rPr>
                <w:rFonts w:cs="Arial"/>
                <w:b/>
                <w:bCs/>
                <w:sz w:val="20"/>
                <w:szCs w:val="20"/>
              </w:rPr>
              <w:t xml:space="preserve"> achieve this, we will:</w:t>
            </w:r>
          </w:p>
          <w:p w14:paraId="4AD31EB6" w14:textId="3831DE32" w:rsidR="00C532B9" w:rsidRPr="00C532B9" w:rsidRDefault="00C532B9" w:rsidP="00EB3317">
            <w:pPr>
              <w:pStyle w:val="ListParagraph"/>
              <w:numPr>
                <w:ilvl w:val="0"/>
                <w:numId w:val="40"/>
              </w:numPr>
              <w:spacing w:after="120" w:line="259" w:lineRule="auto"/>
              <w:rPr>
                <w:rFonts w:cs="Arial"/>
                <w:sz w:val="20"/>
                <w:szCs w:val="20"/>
              </w:rPr>
            </w:pPr>
            <w:r w:rsidRPr="00C532B9">
              <w:rPr>
                <w:rFonts w:cs="Arial"/>
                <w:sz w:val="20"/>
                <w:szCs w:val="20"/>
              </w:rPr>
              <w:t>Develop alternative and/or online solutions in order to provide a comparable experience for those students arriving outside of the traditional University ‘welcome week’, including a review of January intake</w:t>
            </w:r>
            <w:r w:rsidR="00F91274">
              <w:rPr>
                <w:rFonts w:cs="Arial"/>
                <w:sz w:val="20"/>
                <w:szCs w:val="20"/>
              </w:rPr>
              <w:t>.</w:t>
            </w:r>
          </w:p>
          <w:p w14:paraId="5398B6CB" w14:textId="77777777" w:rsidR="00574487" w:rsidRPr="00574487" w:rsidRDefault="00C532B9" w:rsidP="00EB3317">
            <w:pPr>
              <w:pStyle w:val="ListParagraph"/>
              <w:numPr>
                <w:ilvl w:val="0"/>
                <w:numId w:val="40"/>
              </w:numPr>
              <w:spacing w:after="120" w:line="259" w:lineRule="auto"/>
              <w:rPr>
                <w:rFonts w:eastAsiaTheme="minorEastAsia" w:cs="Arial"/>
                <w:sz w:val="20"/>
                <w:szCs w:val="20"/>
              </w:rPr>
            </w:pPr>
            <w:r w:rsidRPr="00C532B9">
              <w:rPr>
                <w:rFonts w:eastAsia="Calibri" w:cs="Arial"/>
                <w:sz w:val="20"/>
                <w:szCs w:val="20"/>
              </w:rPr>
              <w:t>Continue to celebrate diversity and culture</w:t>
            </w:r>
            <w:r w:rsidRPr="00C532B9">
              <w:rPr>
                <w:rFonts w:cs="Arial"/>
                <w:sz w:val="20"/>
                <w:szCs w:val="20"/>
              </w:rPr>
              <w:t xml:space="preserve"> through student-led initiatives and support our students to support each other by developing resources on living and working together, including investing in Bystander training.</w:t>
            </w:r>
          </w:p>
          <w:p w14:paraId="7F26CA86" w14:textId="0826CD25" w:rsidR="00743992" w:rsidRPr="00574487" w:rsidRDefault="00C532B9" w:rsidP="00EB3317">
            <w:pPr>
              <w:pStyle w:val="ListParagraph"/>
              <w:numPr>
                <w:ilvl w:val="0"/>
                <w:numId w:val="40"/>
              </w:numPr>
              <w:spacing w:after="240" w:line="259" w:lineRule="auto"/>
              <w:rPr>
                <w:rFonts w:eastAsiaTheme="minorEastAsia" w:cs="Arial"/>
                <w:sz w:val="20"/>
                <w:szCs w:val="20"/>
              </w:rPr>
            </w:pPr>
            <w:r w:rsidRPr="00574487">
              <w:rPr>
                <w:rFonts w:cs="Arial"/>
                <w:sz w:val="20"/>
                <w:szCs w:val="20"/>
              </w:rPr>
              <w:t>Continue to develop our offering for our Postgraduate students, including identifying college level leads for our PGT community and encouraging staff and students to share their research and enhance postgraduate students’ sense of belonging in their academic school.</w:t>
            </w:r>
          </w:p>
        </w:tc>
      </w:tr>
      <w:tr w:rsidR="00714538" w:rsidRPr="004534A4" w14:paraId="3B196622" w14:textId="77777777" w:rsidTr="00D04D18">
        <w:tc>
          <w:tcPr>
            <w:tcW w:w="9628" w:type="dxa"/>
            <w:shd w:val="clear" w:color="auto" w:fill="BFBFBF" w:themeFill="background1" w:themeFillShade="BF"/>
          </w:tcPr>
          <w:p w14:paraId="35098C40" w14:textId="205DE3EE" w:rsidR="00714538" w:rsidRPr="004534A4" w:rsidRDefault="004534A4" w:rsidP="0066562C">
            <w:pPr>
              <w:pStyle w:val="ListParagraph"/>
              <w:numPr>
                <w:ilvl w:val="0"/>
                <w:numId w:val="19"/>
              </w:numPr>
              <w:rPr>
                <w:rFonts w:eastAsia="Calibri" w:cs="Arial"/>
                <w:b/>
                <w:bCs/>
                <w:color w:val="000000" w:themeColor="text1"/>
                <w:sz w:val="20"/>
                <w:szCs w:val="20"/>
              </w:rPr>
            </w:pPr>
            <w:r w:rsidRPr="004534A4">
              <w:rPr>
                <w:rFonts w:eastAsia="Calibri" w:cs="Arial"/>
                <w:b/>
                <w:bCs/>
                <w:color w:val="000000" w:themeColor="text1"/>
                <w:sz w:val="20"/>
                <w:szCs w:val="20"/>
              </w:rPr>
              <w:lastRenderedPageBreak/>
              <w:t>Engagement</w:t>
            </w:r>
          </w:p>
          <w:p w14:paraId="59876ACF" w14:textId="6F3A9240" w:rsidR="00543FB9" w:rsidRPr="004534A4" w:rsidRDefault="00543FB9" w:rsidP="00816BC4">
            <w:pPr>
              <w:rPr>
                <w:rFonts w:eastAsia="Calibri" w:cs="Arial"/>
                <w:b/>
                <w:bCs/>
                <w:color w:val="000000" w:themeColor="text1"/>
                <w:sz w:val="20"/>
                <w:szCs w:val="20"/>
              </w:rPr>
            </w:pPr>
          </w:p>
        </w:tc>
      </w:tr>
      <w:tr w:rsidR="00714538" w:rsidRPr="0083131E" w14:paraId="53E57084" w14:textId="77777777" w:rsidTr="00D04D18">
        <w:tc>
          <w:tcPr>
            <w:tcW w:w="9628" w:type="dxa"/>
            <w:shd w:val="clear" w:color="auto" w:fill="auto"/>
          </w:tcPr>
          <w:p w14:paraId="1579384A" w14:textId="77777777" w:rsidR="00475C7B" w:rsidRPr="00565949" w:rsidRDefault="00475C7B" w:rsidP="00FA2A5A">
            <w:pPr>
              <w:spacing w:before="120" w:after="120"/>
              <w:rPr>
                <w:rFonts w:cs="Arial"/>
                <w:b/>
                <w:sz w:val="20"/>
                <w:szCs w:val="20"/>
              </w:rPr>
            </w:pPr>
            <w:r w:rsidRPr="00565949">
              <w:rPr>
                <w:rFonts w:cs="Arial"/>
                <w:b/>
                <w:sz w:val="20"/>
                <w:szCs w:val="20"/>
              </w:rPr>
              <w:t>What do our students think?</w:t>
            </w:r>
          </w:p>
          <w:p w14:paraId="4D3FA36F" w14:textId="67933586" w:rsidR="00475C7B" w:rsidRPr="00565949" w:rsidRDefault="00475C7B" w:rsidP="00FA2A5A">
            <w:pPr>
              <w:spacing w:after="120"/>
              <w:rPr>
                <w:rFonts w:cs="Arial"/>
                <w:sz w:val="20"/>
                <w:szCs w:val="20"/>
              </w:rPr>
            </w:pPr>
            <w:r w:rsidRPr="00565949">
              <w:rPr>
                <w:rFonts w:cs="Arial"/>
                <w:sz w:val="20"/>
                <w:szCs w:val="20"/>
              </w:rPr>
              <w:t xml:space="preserve">As a society, we are used to receiving information instantaneously and often online. Students highlighted that having information as early as possible is important, particularly for those who have parent or caring responsibilities.  Students sometimes note that there can be too much information available for them and it can be hard to know what is most relevant and important. Additionally, increasingly students are using social media and other online platforms to communicate with their peers and the University, such as Facebook and Instagram. </w:t>
            </w:r>
          </w:p>
          <w:p w14:paraId="1D6DAFA5" w14:textId="78D0A790" w:rsidR="00475C7B" w:rsidRPr="00565949" w:rsidRDefault="00475C7B" w:rsidP="003010AA">
            <w:pPr>
              <w:spacing w:after="120"/>
              <w:rPr>
                <w:rFonts w:cs="Arial"/>
                <w:b/>
                <w:sz w:val="20"/>
                <w:szCs w:val="20"/>
              </w:rPr>
            </w:pPr>
            <w:r w:rsidRPr="00565949">
              <w:rPr>
                <w:rFonts w:cs="Arial"/>
                <w:sz w:val="20"/>
                <w:szCs w:val="20"/>
              </w:rPr>
              <w:t>Students have also expressed that they would like to know more about staff and student research that is going on across the University, and noted that it is important to continue to promote how student involvement in initiatives and student feedback is used to make changes in their schools and across the University</w:t>
            </w:r>
            <w:r w:rsidR="003010AA" w:rsidRPr="00565949">
              <w:rPr>
                <w:rFonts w:cs="Arial"/>
                <w:sz w:val="20"/>
                <w:szCs w:val="20"/>
              </w:rPr>
              <w:t>.</w:t>
            </w:r>
          </w:p>
          <w:p w14:paraId="13F80A03" w14:textId="77777777" w:rsidR="00475C7B" w:rsidRPr="00565949" w:rsidRDefault="00475C7B" w:rsidP="003010AA">
            <w:pPr>
              <w:spacing w:before="120" w:after="120"/>
              <w:rPr>
                <w:rFonts w:cs="Arial"/>
                <w:b/>
                <w:sz w:val="20"/>
                <w:szCs w:val="20"/>
              </w:rPr>
            </w:pPr>
            <w:r w:rsidRPr="00565949">
              <w:rPr>
                <w:rFonts w:cs="Arial"/>
                <w:b/>
                <w:sz w:val="20"/>
                <w:szCs w:val="20"/>
              </w:rPr>
              <w:t>Our commitment:</w:t>
            </w:r>
          </w:p>
          <w:p w14:paraId="40B4ED7B" w14:textId="298969CC" w:rsidR="00714538" w:rsidRPr="00565949" w:rsidRDefault="00475C7B" w:rsidP="007D000B">
            <w:pPr>
              <w:rPr>
                <w:rFonts w:cs="Arial"/>
                <w:sz w:val="20"/>
                <w:szCs w:val="20"/>
              </w:rPr>
            </w:pPr>
            <w:r w:rsidRPr="00565949">
              <w:rPr>
                <w:rFonts w:cs="Arial"/>
                <w:sz w:val="20"/>
                <w:szCs w:val="20"/>
              </w:rPr>
              <w:t xml:space="preserve">We believe it is important to have an understanding of our students as partners in shaping their education and student experience. We will continue to monitor student feedback through established survey </w:t>
            </w:r>
            <w:r w:rsidR="00943481" w:rsidRPr="00565949">
              <w:rPr>
                <w:rFonts w:cs="Arial"/>
                <w:sz w:val="20"/>
                <w:szCs w:val="20"/>
              </w:rPr>
              <w:t>initiatives and</w:t>
            </w:r>
            <w:r w:rsidRPr="00565949">
              <w:rPr>
                <w:rFonts w:cs="Arial"/>
                <w:sz w:val="20"/>
                <w:szCs w:val="20"/>
              </w:rPr>
              <w:t xml:space="preserve"> will demonstrate to our students how we respond to their feedback. </w:t>
            </w:r>
          </w:p>
          <w:p w14:paraId="5D5D401B" w14:textId="2E98A683" w:rsidR="00565949" w:rsidRPr="00565949" w:rsidRDefault="00EB5895" w:rsidP="00EB5895">
            <w:pPr>
              <w:spacing w:before="120" w:after="120"/>
              <w:rPr>
                <w:rFonts w:cs="Arial"/>
                <w:b/>
                <w:bCs/>
                <w:sz w:val="20"/>
                <w:szCs w:val="20"/>
              </w:rPr>
            </w:pPr>
            <w:r w:rsidRPr="00565949">
              <w:rPr>
                <w:rFonts w:cs="Arial"/>
                <w:b/>
                <w:bCs/>
                <w:sz w:val="20"/>
                <w:szCs w:val="20"/>
              </w:rPr>
              <w:t>To</w:t>
            </w:r>
            <w:r w:rsidR="00565949" w:rsidRPr="00565949">
              <w:rPr>
                <w:rFonts w:cs="Arial"/>
                <w:b/>
                <w:bCs/>
                <w:sz w:val="20"/>
                <w:szCs w:val="20"/>
              </w:rPr>
              <w:t xml:space="preserve"> achieve this, we will:</w:t>
            </w:r>
          </w:p>
          <w:p w14:paraId="5D712559" w14:textId="77777777" w:rsidR="00565949" w:rsidRPr="00EB5895" w:rsidRDefault="00565949" w:rsidP="00EB3317">
            <w:pPr>
              <w:pStyle w:val="ListParagraph"/>
              <w:numPr>
                <w:ilvl w:val="0"/>
                <w:numId w:val="43"/>
              </w:numPr>
              <w:spacing w:after="120" w:line="259" w:lineRule="auto"/>
              <w:rPr>
                <w:rFonts w:cs="Arial"/>
                <w:sz w:val="20"/>
                <w:szCs w:val="20"/>
              </w:rPr>
            </w:pPr>
            <w:r w:rsidRPr="00565949">
              <w:rPr>
                <w:rFonts w:cs="Arial"/>
                <w:sz w:val="20"/>
                <w:szCs w:val="20"/>
              </w:rPr>
              <w:t>Carry out a full review of student communications with a view of streamlining and ensuring that information is up to date and relevant to the student body.</w:t>
            </w:r>
          </w:p>
          <w:p w14:paraId="58B2A37E" w14:textId="4FFB691A" w:rsidR="00565949" w:rsidRPr="00565949" w:rsidRDefault="00565949" w:rsidP="00EB3317">
            <w:pPr>
              <w:pStyle w:val="ListParagraph"/>
              <w:numPr>
                <w:ilvl w:val="0"/>
                <w:numId w:val="43"/>
              </w:numPr>
              <w:spacing w:after="120" w:line="259" w:lineRule="auto"/>
              <w:rPr>
                <w:rFonts w:cs="Arial"/>
                <w:sz w:val="20"/>
                <w:szCs w:val="20"/>
              </w:rPr>
            </w:pPr>
            <w:r w:rsidRPr="00565949">
              <w:rPr>
                <w:rFonts w:cs="Arial"/>
                <w:sz w:val="20"/>
                <w:szCs w:val="20"/>
              </w:rPr>
              <w:t>Explore the use of online tools, such as social media, apps and survey software, in order to holistically survey and engage students across all services and departments so that they understand their roles as a partner in consultation, student feedback opportunities, and how they can influence decisions that affect them both locally and at a university level</w:t>
            </w:r>
            <w:r w:rsidR="00EB3317">
              <w:rPr>
                <w:rFonts w:cs="Arial"/>
                <w:sz w:val="20"/>
                <w:szCs w:val="20"/>
              </w:rPr>
              <w:t>.</w:t>
            </w:r>
          </w:p>
          <w:p w14:paraId="583702A5" w14:textId="4EC3FE30" w:rsidR="00565949" w:rsidRPr="00565949" w:rsidRDefault="00565949" w:rsidP="00EB3317">
            <w:pPr>
              <w:pStyle w:val="ListParagraph"/>
              <w:numPr>
                <w:ilvl w:val="0"/>
                <w:numId w:val="43"/>
              </w:numPr>
              <w:spacing w:after="120" w:line="259" w:lineRule="auto"/>
              <w:rPr>
                <w:rFonts w:cs="Arial"/>
                <w:sz w:val="20"/>
                <w:szCs w:val="20"/>
              </w:rPr>
            </w:pPr>
            <w:r w:rsidRPr="00565949">
              <w:rPr>
                <w:rFonts w:cs="Arial"/>
                <w:sz w:val="20"/>
                <w:szCs w:val="20"/>
              </w:rPr>
              <w:t>Continue to promote an Institutional feedback campaign that promotes how student feedback and partnership working has been acted upon to generate change and enhance the student experience</w:t>
            </w:r>
            <w:r w:rsidR="00EB3317">
              <w:rPr>
                <w:rFonts w:cs="Arial"/>
                <w:sz w:val="20"/>
                <w:szCs w:val="20"/>
              </w:rPr>
              <w:t>.</w:t>
            </w:r>
          </w:p>
          <w:p w14:paraId="53C8A818" w14:textId="4CFCD0A8" w:rsidR="007D000B" w:rsidRPr="00EB3317" w:rsidRDefault="00565949" w:rsidP="00EB3317">
            <w:pPr>
              <w:pStyle w:val="ListParagraph"/>
              <w:numPr>
                <w:ilvl w:val="0"/>
                <w:numId w:val="43"/>
              </w:numPr>
              <w:spacing w:after="240" w:line="259" w:lineRule="auto"/>
              <w:contextualSpacing/>
              <w:rPr>
                <w:rFonts w:cs="Arial"/>
                <w:sz w:val="20"/>
                <w:szCs w:val="20"/>
              </w:rPr>
            </w:pPr>
            <w:r w:rsidRPr="00565949">
              <w:rPr>
                <w:rFonts w:cs="Arial"/>
                <w:sz w:val="20"/>
                <w:szCs w:val="20"/>
              </w:rPr>
              <w:lastRenderedPageBreak/>
              <w:t>Continue to invest in the experiences of our student living and studying away from the Main University campus, through further developing our online platforms and resources in order to ensure a parity of experience and sense of belonging to the University as defined in our Digital Strategy.</w:t>
            </w:r>
          </w:p>
        </w:tc>
      </w:tr>
      <w:tr w:rsidR="00714538" w:rsidRPr="00FD13AA" w14:paraId="6198A1E6" w14:textId="77777777" w:rsidTr="00D04D18">
        <w:tc>
          <w:tcPr>
            <w:tcW w:w="9628" w:type="dxa"/>
            <w:shd w:val="clear" w:color="auto" w:fill="BFBFBF" w:themeFill="background1" w:themeFillShade="BF"/>
          </w:tcPr>
          <w:p w14:paraId="4B44B10B" w14:textId="1B1C2FCD" w:rsidR="00714538" w:rsidRPr="00FD13AA" w:rsidRDefault="00FD13AA" w:rsidP="0066562C">
            <w:pPr>
              <w:pStyle w:val="ListParagraph"/>
              <w:numPr>
                <w:ilvl w:val="0"/>
                <w:numId w:val="19"/>
              </w:numPr>
              <w:rPr>
                <w:rFonts w:eastAsia="Calibri" w:cs="Arial"/>
                <w:b/>
                <w:bCs/>
                <w:color w:val="000000" w:themeColor="text1"/>
                <w:sz w:val="20"/>
                <w:szCs w:val="20"/>
              </w:rPr>
            </w:pPr>
            <w:r w:rsidRPr="00FD13AA">
              <w:rPr>
                <w:rFonts w:eastAsia="Calibri" w:cs="Arial"/>
                <w:b/>
                <w:bCs/>
                <w:color w:val="000000" w:themeColor="text1"/>
                <w:sz w:val="20"/>
                <w:szCs w:val="20"/>
              </w:rPr>
              <w:lastRenderedPageBreak/>
              <w:t>Strategic Partnership Working</w:t>
            </w:r>
          </w:p>
          <w:p w14:paraId="3CB0B18F" w14:textId="3C029CC3" w:rsidR="00543FB9" w:rsidRPr="00FD13AA" w:rsidRDefault="00543FB9" w:rsidP="009224A3">
            <w:pPr>
              <w:rPr>
                <w:rFonts w:eastAsia="Calibri" w:cs="Arial"/>
                <w:b/>
                <w:bCs/>
                <w:color w:val="000000" w:themeColor="text1"/>
                <w:sz w:val="20"/>
                <w:szCs w:val="20"/>
              </w:rPr>
            </w:pPr>
          </w:p>
        </w:tc>
      </w:tr>
      <w:tr w:rsidR="00714538" w:rsidRPr="0083131E" w14:paraId="03AA20C4" w14:textId="77777777" w:rsidTr="00D04D18">
        <w:tc>
          <w:tcPr>
            <w:tcW w:w="9628" w:type="dxa"/>
            <w:shd w:val="clear" w:color="auto" w:fill="auto"/>
          </w:tcPr>
          <w:p w14:paraId="79935E8B" w14:textId="4BB01205" w:rsidR="00C8484C" w:rsidRPr="00C8484C" w:rsidRDefault="00C8484C" w:rsidP="00F94EAB">
            <w:pPr>
              <w:spacing w:before="120" w:after="120"/>
              <w:rPr>
                <w:rFonts w:eastAsiaTheme="minorEastAsia" w:cs="Arial"/>
                <w:sz w:val="20"/>
                <w:szCs w:val="20"/>
              </w:rPr>
            </w:pPr>
            <w:r w:rsidRPr="00C8484C">
              <w:rPr>
                <w:rFonts w:cs="Arial"/>
                <w:sz w:val="20"/>
                <w:szCs w:val="20"/>
              </w:rPr>
              <w:t>Students are at the heart of our decision-making. This is most notably reflected in the make-up of our committee structures, with student representation from the Students’ Union on all committees, and on Council. Our partnership working also includes regular meetings between SU officers and senior management, and joint meetings with the Executive, testament to our approach to strategic developments and the day-to-day running of the University.</w:t>
            </w:r>
          </w:p>
          <w:p w14:paraId="00CC9755" w14:textId="77777777" w:rsidR="00F94EAB" w:rsidRPr="00565949" w:rsidRDefault="00F94EAB" w:rsidP="00F94EAB">
            <w:pPr>
              <w:spacing w:before="120" w:after="120"/>
              <w:rPr>
                <w:rFonts w:cs="Arial"/>
                <w:b/>
                <w:sz w:val="20"/>
                <w:szCs w:val="20"/>
              </w:rPr>
            </w:pPr>
            <w:r w:rsidRPr="00565949">
              <w:rPr>
                <w:rFonts w:cs="Arial"/>
                <w:b/>
                <w:sz w:val="20"/>
                <w:szCs w:val="20"/>
              </w:rPr>
              <w:t>Our commitment:</w:t>
            </w:r>
          </w:p>
          <w:p w14:paraId="5C8093BE" w14:textId="52F8B153" w:rsidR="00C8484C" w:rsidRPr="00C8484C" w:rsidRDefault="00C8484C" w:rsidP="00C8484C">
            <w:pPr>
              <w:rPr>
                <w:rFonts w:cs="Arial"/>
                <w:sz w:val="20"/>
                <w:szCs w:val="20"/>
              </w:rPr>
            </w:pPr>
            <w:r w:rsidRPr="00C8484C">
              <w:rPr>
                <w:rFonts w:cs="Arial"/>
                <w:sz w:val="20"/>
                <w:szCs w:val="20"/>
              </w:rPr>
              <w:t xml:space="preserve">We will monitor and review the implementation of the University’s student experience strategy through the University’s Student Experience Strategy </w:t>
            </w:r>
            <w:r w:rsidR="003D4308" w:rsidRPr="00C8484C">
              <w:rPr>
                <w:rFonts w:cs="Arial"/>
                <w:sz w:val="20"/>
                <w:szCs w:val="20"/>
              </w:rPr>
              <w:t>Group and</w:t>
            </w:r>
            <w:r w:rsidRPr="00C8484C">
              <w:rPr>
                <w:rFonts w:cs="Arial"/>
                <w:sz w:val="20"/>
                <w:szCs w:val="20"/>
              </w:rPr>
              <w:t xml:space="preserve"> will provide annual updates on progress to our students. </w:t>
            </w:r>
          </w:p>
          <w:p w14:paraId="4BB0C2C7" w14:textId="2FDE53E9" w:rsidR="00C8484C" w:rsidRPr="00C8484C" w:rsidRDefault="00D93D6D" w:rsidP="00D93D6D">
            <w:pPr>
              <w:spacing w:before="120" w:after="120"/>
              <w:rPr>
                <w:rFonts w:cs="Arial"/>
                <w:b/>
                <w:bCs/>
                <w:sz w:val="20"/>
                <w:szCs w:val="20"/>
              </w:rPr>
            </w:pPr>
            <w:r w:rsidRPr="00C8484C">
              <w:rPr>
                <w:rFonts w:cs="Arial"/>
                <w:b/>
                <w:bCs/>
                <w:sz w:val="20"/>
                <w:szCs w:val="20"/>
              </w:rPr>
              <w:t>To</w:t>
            </w:r>
            <w:r w:rsidR="00C8484C" w:rsidRPr="00C8484C">
              <w:rPr>
                <w:rFonts w:cs="Arial"/>
                <w:b/>
                <w:bCs/>
                <w:sz w:val="20"/>
                <w:szCs w:val="20"/>
              </w:rPr>
              <w:t xml:space="preserve"> achieve this, we will:</w:t>
            </w:r>
          </w:p>
          <w:p w14:paraId="572D3591" w14:textId="77777777" w:rsidR="00C8484C" w:rsidRPr="00C8484C" w:rsidRDefault="00C8484C" w:rsidP="00953DF8">
            <w:pPr>
              <w:pStyle w:val="ListParagraph"/>
              <w:numPr>
                <w:ilvl w:val="0"/>
                <w:numId w:val="41"/>
              </w:numPr>
              <w:spacing w:after="120" w:line="259" w:lineRule="auto"/>
              <w:rPr>
                <w:rFonts w:cs="Arial"/>
                <w:sz w:val="20"/>
                <w:szCs w:val="20"/>
              </w:rPr>
            </w:pPr>
            <w:r w:rsidRPr="00C8484C">
              <w:rPr>
                <w:rFonts w:cs="Arial"/>
                <w:sz w:val="20"/>
                <w:szCs w:val="20"/>
              </w:rPr>
              <w:t>Continue with student representation on our committee structures.</w:t>
            </w:r>
          </w:p>
          <w:p w14:paraId="7C6CDD61" w14:textId="134DE050" w:rsidR="00C8484C" w:rsidRPr="00C8484C" w:rsidRDefault="00C8484C" w:rsidP="00475C8D">
            <w:pPr>
              <w:pStyle w:val="ListParagraph"/>
              <w:numPr>
                <w:ilvl w:val="0"/>
                <w:numId w:val="41"/>
              </w:numPr>
              <w:spacing w:after="120" w:line="259" w:lineRule="auto"/>
              <w:rPr>
                <w:rFonts w:cs="Arial"/>
                <w:sz w:val="20"/>
                <w:szCs w:val="20"/>
              </w:rPr>
            </w:pPr>
            <w:r w:rsidRPr="00C8484C">
              <w:rPr>
                <w:rFonts w:cs="Arial"/>
                <w:sz w:val="20"/>
                <w:szCs w:val="20"/>
              </w:rPr>
              <w:t xml:space="preserve">Continue with student representation on processes such as Validation of Partner Review where </w:t>
            </w:r>
            <w:r w:rsidR="00DC1EF9" w:rsidRPr="00C8484C">
              <w:rPr>
                <w:rFonts w:cs="Arial"/>
                <w:sz w:val="20"/>
                <w:szCs w:val="20"/>
              </w:rPr>
              <w:t>possible and</w:t>
            </w:r>
            <w:r w:rsidRPr="00C8484C">
              <w:rPr>
                <w:rFonts w:cs="Arial"/>
                <w:sz w:val="20"/>
                <w:szCs w:val="20"/>
              </w:rPr>
              <w:t xml:space="preserve"> seek opportunities to grow these opportunities.</w:t>
            </w:r>
          </w:p>
          <w:p w14:paraId="1D87F40C" w14:textId="448238F6" w:rsidR="00737CCD" w:rsidRPr="00056F50" w:rsidRDefault="00C8484C" w:rsidP="00056F50">
            <w:pPr>
              <w:pStyle w:val="ListParagraph"/>
              <w:numPr>
                <w:ilvl w:val="0"/>
                <w:numId w:val="41"/>
              </w:numPr>
              <w:spacing w:after="240" w:line="259" w:lineRule="auto"/>
              <w:rPr>
                <w:rFonts w:eastAsiaTheme="minorEastAsia" w:cs="Arial"/>
                <w:sz w:val="20"/>
                <w:szCs w:val="20"/>
              </w:rPr>
            </w:pPr>
            <w:r w:rsidRPr="00C8484C">
              <w:rPr>
                <w:rFonts w:cs="Arial"/>
                <w:sz w:val="20"/>
                <w:szCs w:val="20"/>
              </w:rPr>
              <w:t>Continue to consult the student body, in a diverse range of ways, about future actions, and engage with the student body about progress.</w:t>
            </w:r>
          </w:p>
        </w:tc>
      </w:tr>
    </w:tbl>
    <w:p w14:paraId="268C8C1F" w14:textId="1ABB3297" w:rsidR="00A34458" w:rsidRPr="00114E8F" w:rsidRDefault="00A34458" w:rsidP="00A0330B">
      <w:pPr>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95"/>
        <w:gridCol w:w="9133"/>
      </w:tblGrid>
      <w:tr w:rsidR="00D04D18" w:rsidRPr="00114E8F" w14:paraId="345A90E7" w14:textId="77777777" w:rsidTr="007E5CAB">
        <w:tc>
          <w:tcPr>
            <w:tcW w:w="9628" w:type="dxa"/>
            <w:gridSpan w:val="2"/>
            <w:shd w:val="clear" w:color="auto" w:fill="000000" w:themeFill="text1"/>
            <w:vAlign w:val="center"/>
          </w:tcPr>
          <w:p w14:paraId="434B21C0" w14:textId="1FD8A488" w:rsidR="00D04D18" w:rsidRPr="00114E8F" w:rsidRDefault="00D04D18" w:rsidP="002C25FF">
            <w:pPr>
              <w:pStyle w:val="ListParagraph"/>
              <w:numPr>
                <w:ilvl w:val="0"/>
                <w:numId w:val="2"/>
              </w:numPr>
              <w:spacing w:after="120"/>
              <w:rPr>
                <w:rFonts w:cs="Arial"/>
                <w:b/>
                <w:sz w:val="20"/>
                <w:szCs w:val="20"/>
                <w:u w:val="single"/>
              </w:rPr>
            </w:pPr>
            <w:r w:rsidRPr="00114E8F">
              <w:rPr>
                <w:rFonts w:cs="Arial"/>
                <w:b/>
                <w:bCs/>
                <w:sz w:val="20"/>
                <w:szCs w:val="20"/>
              </w:rPr>
              <w:t>Key Performance Indicators</w:t>
            </w:r>
          </w:p>
        </w:tc>
      </w:tr>
      <w:tr w:rsidR="00D04D18" w:rsidRPr="005D1DD4" w14:paraId="6B55737D" w14:textId="77777777" w:rsidTr="007E5CAB">
        <w:tc>
          <w:tcPr>
            <w:tcW w:w="9628" w:type="dxa"/>
            <w:gridSpan w:val="2"/>
            <w:shd w:val="clear" w:color="auto" w:fill="auto"/>
            <w:vAlign w:val="center"/>
          </w:tcPr>
          <w:p w14:paraId="1175B2B5" w14:textId="658EC3BA" w:rsidR="00816C2F" w:rsidRPr="005D1DD4" w:rsidRDefault="00400FFF" w:rsidP="00167719">
            <w:pPr>
              <w:spacing w:after="120"/>
              <w:rPr>
                <w:rFonts w:cs="Arial"/>
                <w:sz w:val="20"/>
                <w:szCs w:val="20"/>
              </w:rPr>
            </w:pPr>
            <w:r w:rsidRPr="005D1DD4">
              <w:rPr>
                <w:rFonts w:cs="Arial"/>
                <w:sz w:val="20"/>
                <w:szCs w:val="20"/>
              </w:rPr>
              <w:t>Progress against each of the objectives will be articulated through</w:t>
            </w:r>
            <w:r w:rsidR="002C2A5A" w:rsidRPr="005D1DD4">
              <w:rPr>
                <w:rFonts w:cs="Arial"/>
                <w:sz w:val="20"/>
                <w:szCs w:val="20"/>
              </w:rPr>
              <w:t xml:space="preserve"> key performance indicators (KPIs)</w:t>
            </w:r>
            <w:r w:rsidRPr="005D1DD4">
              <w:rPr>
                <w:rFonts w:cs="Arial"/>
                <w:sz w:val="20"/>
                <w:szCs w:val="20"/>
              </w:rPr>
              <w:t xml:space="preserve">; these are underpinned by a framework of </w:t>
            </w:r>
            <w:r w:rsidR="002C2A5A" w:rsidRPr="005D1DD4">
              <w:rPr>
                <w:rFonts w:cs="Arial"/>
                <w:sz w:val="20"/>
                <w:szCs w:val="20"/>
              </w:rPr>
              <w:t xml:space="preserve">more detailed KPIs and </w:t>
            </w:r>
            <w:r w:rsidRPr="005D1DD4">
              <w:rPr>
                <w:rFonts w:cs="Arial"/>
                <w:sz w:val="20"/>
                <w:szCs w:val="20"/>
              </w:rPr>
              <w:t>targets</w:t>
            </w:r>
            <w:r w:rsidR="002C2A5A" w:rsidRPr="005D1DD4">
              <w:rPr>
                <w:rFonts w:cs="Arial"/>
                <w:sz w:val="20"/>
                <w:szCs w:val="20"/>
              </w:rPr>
              <w:t xml:space="preserve"> </w:t>
            </w:r>
            <w:r w:rsidR="001727D7" w:rsidRPr="005D1DD4">
              <w:rPr>
                <w:rFonts w:cs="Arial"/>
                <w:sz w:val="20"/>
                <w:szCs w:val="20"/>
              </w:rPr>
              <w:t>which are aligned and operationalised</w:t>
            </w:r>
            <w:r w:rsidRPr="005D1DD4">
              <w:rPr>
                <w:rFonts w:cs="Arial"/>
                <w:sz w:val="20"/>
                <w:szCs w:val="20"/>
              </w:rPr>
              <w:t xml:space="preserve"> through</w:t>
            </w:r>
            <w:r w:rsidR="001727D7" w:rsidRPr="005D1DD4">
              <w:rPr>
                <w:rFonts w:cs="Arial"/>
                <w:sz w:val="20"/>
                <w:szCs w:val="20"/>
              </w:rPr>
              <w:t xml:space="preserve"> </w:t>
            </w:r>
            <w:r w:rsidRPr="005D1DD4">
              <w:rPr>
                <w:rFonts w:cs="Arial"/>
                <w:sz w:val="20"/>
                <w:szCs w:val="20"/>
              </w:rPr>
              <w:t>the University’s annual business planning round.</w:t>
            </w:r>
          </w:p>
        </w:tc>
      </w:tr>
      <w:tr w:rsidR="007E5CAB" w:rsidRPr="0083131E" w14:paraId="6022F3B1" w14:textId="77777777" w:rsidTr="00C462E2">
        <w:tc>
          <w:tcPr>
            <w:tcW w:w="495" w:type="dxa"/>
            <w:shd w:val="clear" w:color="auto" w:fill="auto"/>
          </w:tcPr>
          <w:p w14:paraId="5B3E6FA2" w14:textId="5E576A5B" w:rsidR="007E5CAB" w:rsidRPr="00F73AF8" w:rsidRDefault="007E5CAB" w:rsidP="00F52D45">
            <w:pPr>
              <w:spacing w:after="120"/>
              <w:rPr>
                <w:rFonts w:cs="Arial"/>
                <w:sz w:val="20"/>
                <w:szCs w:val="20"/>
              </w:rPr>
            </w:pPr>
            <w:r w:rsidRPr="00F73AF8">
              <w:rPr>
                <w:rFonts w:cs="Arial"/>
                <w:sz w:val="20"/>
                <w:szCs w:val="20"/>
              </w:rPr>
              <w:t>1.</w:t>
            </w:r>
          </w:p>
        </w:tc>
        <w:tc>
          <w:tcPr>
            <w:tcW w:w="9133" w:type="dxa"/>
            <w:shd w:val="clear" w:color="auto" w:fill="auto"/>
            <w:vAlign w:val="center"/>
          </w:tcPr>
          <w:p w14:paraId="74CDEB75" w14:textId="77777777" w:rsidR="00C9681B" w:rsidRPr="008E0BA6" w:rsidRDefault="00C9681B" w:rsidP="00C9681B">
            <w:pPr>
              <w:spacing w:after="120"/>
              <w:rPr>
                <w:rFonts w:cs="Arial"/>
                <w:sz w:val="20"/>
                <w:szCs w:val="20"/>
              </w:rPr>
            </w:pPr>
            <w:r w:rsidRPr="008E0BA6">
              <w:rPr>
                <w:rFonts w:cs="Arial"/>
                <w:sz w:val="20"/>
                <w:szCs w:val="20"/>
              </w:rPr>
              <w:t>We will continue to monitor student satisfaction in a range of ways:</w:t>
            </w:r>
          </w:p>
          <w:p w14:paraId="71F9E97B" w14:textId="5A88AF10" w:rsidR="00EC5A9C" w:rsidRPr="008E0BA6" w:rsidRDefault="00043507" w:rsidP="00EC5A9C">
            <w:pPr>
              <w:pStyle w:val="ListParagraph"/>
              <w:numPr>
                <w:ilvl w:val="0"/>
                <w:numId w:val="32"/>
              </w:numPr>
              <w:spacing w:after="120"/>
              <w:rPr>
                <w:rFonts w:cs="Arial"/>
                <w:sz w:val="20"/>
                <w:szCs w:val="20"/>
              </w:rPr>
            </w:pPr>
            <w:r w:rsidRPr="008E0BA6">
              <w:rPr>
                <w:rFonts w:cs="Arial"/>
                <w:sz w:val="20"/>
                <w:szCs w:val="20"/>
              </w:rPr>
              <w:t>National Student Survey (NSS)</w:t>
            </w:r>
            <w:r w:rsidR="0091483B" w:rsidRPr="008E0BA6">
              <w:rPr>
                <w:rFonts w:cs="Arial"/>
                <w:sz w:val="20"/>
                <w:szCs w:val="20"/>
              </w:rPr>
              <w:t xml:space="preserve"> </w:t>
            </w:r>
          </w:p>
          <w:p w14:paraId="080AB9FF" w14:textId="156444CB" w:rsidR="00EC5A9C" w:rsidRPr="008E0BA6" w:rsidRDefault="006422C5" w:rsidP="00EC5A9C">
            <w:pPr>
              <w:pStyle w:val="ListParagraph"/>
              <w:numPr>
                <w:ilvl w:val="0"/>
                <w:numId w:val="32"/>
              </w:numPr>
              <w:spacing w:after="120"/>
              <w:rPr>
                <w:rFonts w:cs="Arial"/>
                <w:sz w:val="20"/>
                <w:szCs w:val="20"/>
              </w:rPr>
            </w:pPr>
            <w:r w:rsidRPr="008E0BA6">
              <w:rPr>
                <w:rFonts w:cs="Arial"/>
                <w:sz w:val="20"/>
                <w:szCs w:val="20"/>
              </w:rPr>
              <w:t>Postgraduate Taught Experience Survey (PTES</w:t>
            </w:r>
          </w:p>
          <w:p w14:paraId="2921F5E8" w14:textId="6FFBC7BC" w:rsidR="00717413" w:rsidRPr="008E0BA6" w:rsidRDefault="00C01C89" w:rsidP="00EC5A9C">
            <w:pPr>
              <w:pStyle w:val="ListParagraph"/>
              <w:numPr>
                <w:ilvl w:val="0"/>
                <w:numId w:val="32"/>
              </w:numPr>
              <w:spacing w:after="120"/>
              <w:rPr>
                <w:rFonts w:cs="Arial"/>
                <w:sz w:val="20"/>
                <w:szCs w:val="20"/>
              </w:rPr>
            </w:pPr>
            <w:r w:rsidRPr="008E0BA6">
              <w:rPr>
                <w:rFonts w:cs="Arial"/>
                <w:sz w:val="20"/>
                <w:szCs w:val="20"/>
              </w:rPr>
              <w:t>Postgraduate Research Experience Survey (PRES)</w:t>
            </w:r>
            <w:r w:rsidR="00934755" w:rsidRPr="008E0BA6">
              <w:rPr>
                <w:rFonts w:cs="Arial"/>
                <w:sz w:val="20"/>
                <w:szCs w:val="20"/>
              </w:rPr>
              <w:t xml:space="preserve"> </w:t>
            </w:r>
          </w:p>
          <w:p w14:paraId="21DA090E" w14:textId="47A1C437" w:rsidR="00C01C89" w:rsidRPr="008E0BA6" w:rsidRDefault="00FD01AD" w:rsidP="00EC5A9C">
            <w:pPr>
              <w:pStyle w:val="ListParagraph"/>
              <w:numPr>
                <w:ilvl w:val="0"/>
                <w:numId w:val="32"/>
              </w:numPr>
              <w:spacing w:after="120"/>
              <w:rPr>
                <w:rFonts w:cs="Arial"/>
                <w:sz w:val="20"/>
                <w:szCs w:val="20"/>
              </w:rPr>
            </w:pPr>
            <w:proofErr w:type="spellStart"/>
            <w:r w:rsidRPr="008E0BA6">
              <w:rPr>
                <w:rFonts w:cs="Arial"/>
                <w:sz w:val="20"/>
                <w:szCs w:val="20"/>
              </w:rPr>
              <w:t>Croeso</w:t>
            </w:r>
            <w:proofErr w:type="spellEnd"/>
            <w:r w:rsidRPr="008E0BA6">
              <w:rPr>
                <w:rFonts w:cs="Arial"/>
                <w:sz w:val="20"/>
                <w:szCs w:val="20"/>
              </w:rPr>
              <w:t xml:space="preserve"> survey</w:t>
            </w:r>
            <w:r w:rsidR="00934755" w:rsidRPr="008E0BA6">
              <w:rPr>
                <w:rFonts w:cs="Arial"/>
                <w:sz w:val="20"/>
                <w:szCs w:val="20"/>
              </w:rPr>
              <w:t xml:space="preserve"> </w:t>
            </w:r>
          </w:p>
          <w:p w14:paraId="5BE4001C" w14:textId="77777777" w:rsidR="008E0BA6" w:rsidRPr="008E0BA6" w:rsidRDefault="0061196B" w:rsidP="008E0BA6">
            <w:pPr>
              <w:pStyle w:val="ListParagraph"/>
              <w:numPr>
                <w:ilvl w:val="0"/>
                <w:numId w:val="32"/>
              </w:numPr>
              <w:spacing w:after="120"/>
              <w:rPr>
                <w:rFonts w:cs="Arial"/>
                <w:sz w:val="20"/>
                <w:szCs w:val="20"/>
              </w:rPr>
            </w:pPr>
            <w:r w:rsidRPr="008E0BA6">
              <w:rPr>
                <w:rFonts w:cs="Arial"/>
                <w:sz w:val="20"/>
                <w:szCs w:val="20"/>
              </w:rPr>
              <w:t>SU annual survey</w:t>
            </w:r>
            <w:r w:rsidR="00934755" w:rsidRPr="008E0BA6">
              <w:rPr>
                <w:rFonts w:cs="Arial"/>
                <w:sz w:val="20"/>
                <w:szCs w:val="20"/>
              </w:rPr>
              <w:t xml:space="preserve"> </w:t>
            </w:r>
          </w:p>
          <w:p w14:paraId="7162389E" w14:textId="54E5299B" w:rsidR="0061196B" w:rsidRPr="008E0BA6" w:rsidRDefault="00735F6F" w:rsidP="008E0BA6">
            <w:pPr>
              <w:pStyle w:val="ListParagraph"/>
              <w:numPr>
                <w:ilvl w:val="0"/>
                <w:numId w:val="32"/>
              </w:numPr>
              <w:spacing w:after="120"/>
              <w:rPr>
                <w:rFonts w:cs="Arial"/>
                <w:sz w:val="20"/>
                <w:szCs w:val="20"/>
              </w:rPr>
            </w:pPr>
            <w:r w:rsidRPr="008E0BA6">
              <w:rPr>
                <w:rFonts w:cs="Arial"/>
                <w:sz w:val="20"/>
                <w:szCs w:val="20"/>
              </w:rPr>
              <w:t>SU Student Experience report</w:t>
            </w:r>
            <w:r w:rsidR="00934755" w:rsidRPr="008E0BA6">
              <w:rPr>
                <w:rFonts w:cs="Arial"/>
                <w:sz w:val="20"/>
                <w:szCs w:val="20"/>
              </w:rPr>
              <w:t xml:space="preserve"> </w:t>
            </w:r>
          </w:p>
        </w:tc>
      </w:tr>
      <w:tr w:rsidR="005245F1" w:rsidRPr="0083131E" w14:paraId="245088BD" w14:textId="77777777" w:rsidTr="00C462E2">
        <w:tc>
          <w:tcPr>
            <w:tcW w:w="495" w:type="dxa"/>
            <w:shd w:val="clear" w:color="auto" w:fill="auto"/>
          </w:tcPr>
          <w:p w14:paraId="2C2D6F65" w14:textId="7A529161" w:rsidR="005245F1" w:rsidRPr="00F73AF8" w:rsidRDefault="005245F1" w:rsidP="00F52D45">
            <w:pPr>
              <w:spacing w:after="120"/>
              <w:rPr>
                <w:rFonts w:cs="Arial"/>
                <w:sz w:val="20"/>
                <w:szCs w:val="20"/>
              </w:rPr>
            </w:pPr>
            <w:r w:rsidRPr="00F73AF8">
              <w:rPr>
                <w:rFonts w:cs="Arial"/>
                <w:sz w:val="20"/>
                <w:szCs w:val="20"/>
              </w:rPr>
              <w:t>2.</w:t>
            </w:r>
          </w:p>
        </w:tc>
        <w:tc>
          <w:tcPr>
            <w:tcW w:w="9133" w:type="dxa"/>
            <w:shd w:val="clear" w:color="auto" w:fill="auto"/>
            <w:vAlign w:val="center"/>
          </w:tcPr>
          <w:p w14:paraId="4B6988B8" w14:textId="6699B7C0" w:rsidR="005245F1" w:rsidRPr="008E0BA6" w:rsidRDefault="00A74C65" w:rsidP="005245F1">
            <w:pPr>
              <w:spacing w:after="120"/>
              <w:rPr>
                <w:rFonts w:cs="Arial"/>
                <w:sz w:val="20"/>
                <w:szCs w:val="20"/>
              </w:rPr>
            </w:pPr>
            <w:r w:rsidRPr="008E0BA6">
              <w:rPr>
                <w:rFonts w:cs="Arial"/>
                <w:sz w:val="20"/>
                <w:szCs w:val="20"/>
              </w:rPr>
              <w:t>We will monitor student engagement in extracurricular activities, both in terms of breadth of engagement (membership of clubs and societies), and success of our teams (where this is measurable).</w:t>
            </w:r>
          </w:p>
          <w:p w14:paraId="4D0D83D3" w14:textId="77777777" w:rsidR="008E0BA6" w:rsidRPr="008E0BA6" w:rsidRDefault="00686BA2" w:rsidP="008E0BA6">
            <w:pPr>
              <w:pStyle w:val="ListParagraph"/>
              <w:numPr>
                <w:ilvl w:val="0"/>
                <w:numId w:val="30"/>
              </w:numPr>
              <w:spacing w:after="120"/>
              <w:rPr>
                <w:rFonts w:cs="Arial"/>
                <w:sz w:val="20"/>
                <w:szCs w:val="20"/>
              </w:rPr>
            </w:pPr>
            <w:r w:rsidRPr="008E0BA6">
              <w:rPr>
                <w:rFonts w:cs="Arial"/>
                <w:sz w:val="20"/>
                <w:szCs w:val="20"/>
              </w:rPr>
              <w:t>Membership of clubs &amp; societies</w:t>
            </w:r>
            <w:r w:rsidR="00A209B7" w:rsidRPr="008E0BA6">
              <w:rPr>
                <w:rFonts w:cs="Arial"/>
                <w:sz w:val="20"/>
                <w:szCs w:val="20"/>
              </w:rPr>
              <w:t xml:space="preserve"> </w:t>
            </w:r>
          </w:p>
          <w:p w14:paraId="66173B73" w14:textId="1A87218D" w:rsidR="005245F1" w:rsidRPr="008E0BA6" w:rsidRDefault="00CE0EBF" w:rsidP="008E0BA6">
            <w:pPr>
              <w:pStyle w:val="ListParagraph"/>
              <w:numPr>
                <w:ilvl w:val="0"/>
                <w:numId w:val="30"/>
              </w:numPr>
              <w:spacing w:after="120"/>
              <w:rPr>
                <w:rFonts w:cs="Arial"/>
                <w:sz w:val="20"/>
                <w:szCs w:val="20"/>
              </w:rPr>
            </w:pPr>
            <w:r w:rsidRPr="008E0BA6">
              <w:rPr>
                <w:rFonts w:cs="Arial"/>
                <w:sz w:val="20"/>
                <w:szCs w:val="20"/>
              </w:rPr>
              <w:t>Team successes</w:t>
            </w:r>
            <w:r w:rsidR="00A209B7" w:rsidRPr="008E0BA6">
              <w:rPr>
                <w:rFonts w:cs="Arial"/>
                <w:sz w:val="20"/>
                <w:szCs w:val="20"/>
              </w:rPr>
              <w:t xml:space="preserve"> </w:t>
            </w:r>
          </w:p>
        </w:tc>
      </w:tr>
    </w:tbl>
    <w:p w14:paraId="1BF25E84" w14:textId="77777777" w:rsidR="00C61F70" w:rsidRDefault="00C61F70" w:rsidP="00A0330B">
      <w:pPr>
        <w:rPr>
          <w:rFonts w:cs="Arial"/>
          <w:sz w:val="20"/>
          <w:szCs w:val="20"/>
        </w:rPr>
      </w:pPr>
    </w:p>
    <w:p w14:paraId="5E32EE2F" w14:textId="6870517F" w:rsidR="0068458B" w:rsidRDefault="0068458B" w:rsidP="0033338C">
      <w:pPr>
        <w:rPr>
          <w:rFonts w:cs="Arial"/>
          <w:sz w:val="20"/>
          <w:szCs w:val="20"/>
        </w:rPr>
      </w:pPr>
    </w:p>
    <w:p w14:paraId="2A8DB04A" w14:textId="4F04E9AF" w:rsidR="0033338C" w:rsidRPr="0033338C" w:rsidRDefault="0068458B" w:rsidP="0033338C">
      <w:pPr>
        <w:rPr>
          <w:rFonts w:cs="Arial"/>
          <w:sz w:val="20"/>
          <w:szCs w:val="20"/>
        </w:rPr>
      </w:pPr>
      <w:r>
        <w:rPr>
          <w:rFonts w:cs="Arial"/>
          <w:sz w:val="20"/>
          <w:szCs w:val="20"/>
        </w:rPr>
        <w:t>T</w:t>
      </w:r>
      <w:r w:rsidRPr="0033338C">
        <w:rPr>
          <w:rFonts w:cs="Arial"/>
          <w:sz w:val="20"/>
          <w:szCs w:val="20"/>
        </w:rPr>
        <w:t>he Student Experience Strategy Group</w:t>
      </w:r>
      <w:r>
        <w:rPr>
          <w:rFonts w:cs="Arial"/>
          <w:sz w:val="20"/>
          <w:szCs w:val="20"/>
        </w:rPr>
        <w:t xml:space="preserve">, chaired by </w:t>
      </w:r>
      <w:r w:rsidR="0033338C" w:rsidRPr="0033338C">
        <w:rPr>
          <w:rFonts w:cs="Arial"/>
          <w:sz w:val="20"/>
          <w:szCs w:val="20"/>
        </w:rPr>
        <w:t>Prof</w:t>
      </w:r>
      <w:r>
        <w:rPr>
          <w:rFonts w:cs="Arial"/>
          <w:sz w:val="20"/>
          <w:szCs w:val="20"/>
        </w:rPr>
        <w:t>.</w:t>
      </w:r>
      <w:r w:rsidR="0033338C" w:rsidRPr="0033338C">
        <w:rPr>
          <w:rFonts w:cs="Arial"/>
          <w:sz w:val="20"/>
          <w:szCs w:val="20"/>
        </w:rPr>
        <w:t xml:space="preserve"> Oliver Turnbull</w:t>
      </w:r>
      <w:r>
        <w:rPr>
          <w:rFonts w:cs="Arial"/>
          <w:sz w:val="20"/>
          <w:szCs w:val="20"/>
        </w:rPr>
        <w:t xml:space="preserve">, </w:t>
      </w:r>
      <w:r w:rsidR="0033338C" w:rsidRPr="0033338C">
        <w:rPr>
          <w:rFonts w:cs="Arial"/>
          <w:sz w:val="20"/>
          <w:szCs w:val="20"/>
        </w:rPr>
        <w:t>D</w:t>
      </w:r>
      <w:r>
        <w:rPr>
          <w:rFonts w:cs="Arial"/>
          <w:sz w:val="20"/>
          <w:szCs w:val="20"/>
        </w:rPr>
        <w:t xml:space="preserve">eputy </w:t>
      </w:r>
      <w:r w:rsidR="0033338C" w:rsidRPr="0033338C">
        <w:rPr>
          <w:rFonts w:cs="Arial"/>
          <w:sz w:val="20"/>
          <w:szCs w:val="20"/>
        </w:rPr>
        <w:t>V</w:t>
      </w:r>
      <w:r>
        <w:rPr>
          <w:rFonts w:cs="Arial"/>
          <w:sz w:val="20"/>
          <w:szCs w:val="20"/>
        </w:rPr>
        <w:t>ice-</w:t>
      </w:r>
      <w:r w:rsidR="0033338C" w:rsidRPr="0033338C">
        <w:rPr>
          <w:rFonts w:cs="Arial"/>
          <w:sz w:val="20"/>
          <w:szCs w:val="20"/>
        </w:rPr>
        <w:t>C</w:t>
      </w:r>
      <w:r>
        <w:rPr>
          <w:rFonts w:cs="Arial"/>
          <w:sz w:val="20"/>
          <w:szCs w:val="20"/>
        </w:rPr>
        <w:t>hancellor.</w:t>
      </w:r>
    </w:p>
    <w:p w14:paraId="75FA24CF" w14:textId="77777777" w:rsidR="0033338C" w:rsidRPr="0033338C" w:rsidRDefault="0033338C" w:rsidP="00080F04">
      <w:pPr>
        <w:rPr>
          <w:rFonts w:cs="Arial"/>
          <w:vanish/>
          <w:sz w:val="20"/>
          <w:szCs w:val="20"/>
        </w:rPr>
      </w:pPr>
    </w:p>
    <w:sectPr w:rsidR="0033338C" w:rsidRPr="0033338C" w:rsidSect="0096035C">
      <w:headerReference w:type="default" r:id="rId12"/>
      <w:footerReference w:type="default" r:id="rId13"/>
      <w:pgSz w:w="11906" w:h="16838"/>
      <w:pgMar w:top="1134" w:right="1134" w:bottom="1134" w:left="1134" w:header="567"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73A9" w14:textId="77777777" w:rsidR="00402639" w:rsidRDefault="00402639" w:rsidP="00C724B3">
      <w:r>
        <w:separator/>
      </w:r>
    </w:p>
  </w:endnote>
  <w:endnote w:type="continuationSeparator" w:id="0">
    <w:p w14:paraId="48E3CA60" w14:textId="77777777" w:rsidR="00402639" w:rsidRDefault="00402639" w:rsidP="00C724B3">
      <w:r>
        <w:continuationSeparator/>
      </w:r>
    </w:p>
  </w:endnote>
  <w:endnote w:type="continuationNotice" w:id="1">
    <w:p w14:paraId="1CF35884" w14:textId="77777777" w:rsidR="00402639" w:rsidRDefault="004026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192841191"/>
      <w:docPartObj>
        <w:docPartGallery w:val="Page Numbers (Bottom of Page)"/>
        <w:docPartUnique/>
      </w:docPartObj>
    </w:sdtPr>
    <w:sdtEndPr>
      <w:rPr>
        <w:noProof/>
      </w:rPr>
    </w:sdtEndPr>
    <w:sdtContent>
      <w:p w14:paraId="268C8C44" w14:textId="59B331A1" w:rsidR="00950047" w:rsidRPr="0068734A" w:rsidRDefault="00950047" w:rsidP="001E55E9">
        <w:pPr>
          <w:pStyle w:val="Footer"/>
          <w:jc w:val="center"/>
          <w:rPr>
            <w:rFonts w:cs="Arial"/>
            <w:sz w:val="20"/>
            <w:szCs w:val="20"/>
          </w:rPr>
        </w:pPr>
        <w:r w:rsidRPr="0068734A">
          <w:rPr>
            <w:rFonts w:cs="Arial"/>
            <w:sz w:val="20"/>
            <w:szCs w:val="20"/>
          </w:rPr>
          <w:t xml:space="preserve">Page </w:t>
        </w:r>
        <w:r w:rsidRPr="0068734A">
          <w:rPr>
            <w:rFonts w:cs="Arial"/>
            <w:sz w:val="20"/>
            <w:szCs w:val="20"/>
          </w:rPr>
          <w:fldChar w:fldCharType="begin"/>
        </w:r>
        <w:r w:rsidRPr="0068734A">
          <w:rPr>
            <w:rFonts w:cs="Arial"/>
            <w:sz w:val="20"/>
            <w:szCs w:val="20"/>
          </w:rPr>
          <w:instrText xml:space="preserve"> PAGE   \* MERGEFORMAT </w:instrText>
        </w:r>
        <w:r w:rsidRPr="0068734A">
          <w:rPr>
            <w:rFonts w:cs="Arial"/>
            <w:sz w:val="20"/>
            <w:szCs w:val="20"/>
          </w:rPr>
          <w:fldChar w:fldCharType="separate"/>
        </w:r>
        <w:r w:rsidR="00501B35" w:rsidRPr="0068734A">
          <w:rPr>
            <w:rFonts w:cs="Arial"/>
            <w:noProof/>
            <w:sz w:val="20"/>
            <w:szCs w:val="20"/>
          </w:rPr>
          <w:t>6</w:t>
        </w:r>
        <w:r w:rsidRPr="0068734A">
          <w:rPr>
            <w:rFonts w:cs="Arial"/>
            <w:noProof/>
            <w:sz w:val="20"/>
            <w:szCs w:val="20"/>
          </w:rPr>
          <w:fldChar w:fldCharType="end"/>
        </w:r>
        <w:r w:rsidRPr="0068734A">
          <w:rPr>
            <w:rFonts w:cs="Arial"/>
            <w:noProof/>
            <w:sz w:val="20"/>
            <w:szCs w:val="20"/>
          </w:rPr>
          <w:t xml:space="preserve"> of </w:t>
        </w:r>
        <w:r w:rsidRPr="0068734A">
          <w:rPr>
            <w:rFonts w:cs="Arial"/>
            <w:noProof/>
            <w:sz w:val="20"/>
            <w:szCs w:val="20"/>
          </w:rPr>
          <w:fldChar w:fldCharType="begin"/>
        </w:r>
        <w:r w:rsidRPr="0068734A">
          <w:rPr>
            <w:rFonts w:cs="Arial"/>
            <w:noProof/>
            <w:sz w:val="20"/>
            <w:szCs w:val="20"/>
          </w:rPr>
          <w:instrText xml:space="preserve"> NUMPAGES   \* MERGEFORMAT </w:instrText>
        </w:r>
        <w:r w:rsidRPr="0068734A">
          <w:rPr>
            <w:rFonts w:cs="Arial"/>
            <w:noProof/>
            <w:sz w:val="20"/>
            <w:szCs w:val="20"/>
          </w:rPr>
          <w:fldChar w:fldCharType="separate"/>
        </w:r>
        <w:r w:rsidR="00501B35" w:rsidRPr="0068734A">
          <w:rPr>
            <w:rFonts w:cs="Arial"/>
            <w:noProof/>
            <w:sz w:val="20"/>
            <w:szCs w:val="20"/>
          </w:rPr>
          <w:t>7</w:t>
        </w:r>
        <w:r w:rsidRPr="0068734A">
          <w:rPr>
            <w:rFonts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1893" w14:textId="77777777" w:rsidR="00402639" w:rsidRDefault="00402639" w:rsidP="00C724B3">
      <w:r>
        <w:separator/>
      </w:r>
    </w:p>
  </w:footnote>
  <w:footnote w:type="continuationSeparator" w:id="0">
    <w:p w14:paraId="0199283C" w14:textId="77777777" w:rsidR="00402639" w:rsidRDefault="00402639" w:rsidP="00C724B3">
      <w:r>
        <w:continuationSeparator/>
      </w:r>
    </w:p>
  </w:footnote>
  <w:footnote w:type="continuationNotice" w:id="1">
    <w:p w14:paraId="57AAB138" w14:textId="77777777" w:rsidR="00402639" w:rsidRDefault="004026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23"/>
      <w:gridCol w:w="5615"/>
    </w:tblGrid>
    <w:tr w:rsidR="008362B7" w:rsidRPr="0068734A" w14:paraId="6D25D2CA" w14:textId="77777777" w:rsidTr="00F00368">
      <w:tc>
        <w:tcPr>
          <w:tcW w:w="7280" w:type="dxa"/>
        </w:tcPr>
        <w:p w14:paraId="3EA05211" w14:textId="73607599" w:rsidR="00F00368" w:rsidRPr="0068734A" w:rsidRDefault="006C653D" w:rsidP="00F00368">
          <w:pPr>
            <w:pStyle w:val="Header"/>
            <w:rPr>
              <w:rFonts w:ascii="Arial" w:hAnsi="Arial" w:cs="Arial"/>
              <w:sz w:val="20"/>
              <w:szCs w:val="20"/>
            </w:rPr>
          </w:pPr>
          <w:r w:rsidRPr="0068734A">
            <w:rPr>
              <w:rFonts w:ascii="Arial" w:hAnsi="Arial" w:cs="Arial"/>
              <w:sz w:val="20"/>
              <w:szCs w:val="20"/>
            </w:rPr>
            <w:t xml:space="preserve">Bangor University: </w:t>
          </w:r>
          <w:r w:rsidR="00FA2E7A" w:rsidRPr="0068734A">
            <w:rPr>
              <w:rFonts w:ascii="Arial" w:hAnsi="Arial" w:cs="Arial"/>
              <w:sz w:val="20"/>
              <w:szCs w:val="20"/>
            </w:rPr>
            <w:t>Strategy 2030</w:t>
          </w:r>
        </w:p>
      </w:tc>
      <w:tc>
        <w:tcPr>
          <w:tcW w:w="7280" w:type="dxa"/>
        </w:tcPr>
        <w:p w14:paraId="2779224E" w14:textId="445314E7" w:rsidR="00F00368" w:rsidRPr="0068734A" w:rsidRDefault="00F00368" w:rsidP="00E674D5">
          <w:pPr>
            <w:pStyle w:val="Header"/>
            <w:jc w:val="right"/>
            <w:rPr>
              <w:rFonts w:ascii="Arial" w:hAnsi="Arial" w:cs="Arial"/>
              <w:sz w:val="20"/>
              <w:szCs w:val="20"/>
            </w:rPr>
          </w:pPr>
          <w:r w:rsidRPr="0068734A">
            <w:rPr>
              <w:rFonts w:ascii="Arial" w:hAnsi="Arial" w:cs="Arial"/>
              <w:sz w:val="20"/>
              <w:szCs w:val="20"/>
            </w:rPr>
            <w:tab/>
          </w:r>
          <w:r w:rsidR="0083131E">
            <w:rPr>
              <w:rFonts w:ascii="Arial" w:hAnsi="Arial" w:cs="Arial"/>
              <w:sz w:val="20"/>
              <w:szCs w:val="20"/>
            </w:rPr>
            <w:t>Student Experience</w:t>
          </w:r>
          <w:r w:rsidR="0096035C" w:rsidRPr="0068734A">
            <w:rPr>
              <w:rFonts w:ascii="Arial" w:hAnsi="Arial" w:cs="Arial"/>
              <w:sz w:val="20"/>
              <w:szCs w:val="20"/>
            </w:rPr>
            <w:t xml:space="preserve"> Strategy</w:t>
          </w:r>
        </w:p>
      </w:tc>
    </w:tr>
  </w:tbl>
  <w:p w14:paraId="3479F9AC" w14:textId="77777777" w:rsidR="0096035C" w:rsidRPr="001E55E9" w:rsidRDefault="0096035C" w:rsidP="00F00368">
    <w:pPr>
      <w:pStyle w:val="Header"/>
      <w:rPr>
        <w:rFonts w:asciiTheme="minorHAnsi" w:hAnsi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625"/>
    <w:multiLevelType w:val="hybridMultilevel"/>
    <w:tmpl w:val="369C80C8"/>
    <w:lvl w:ilvl="0" w:tplc="08090015">
      <w:start w:val="1"/>
      <w:numFmt w:val="upperLetter"/>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652648"/>
    <w:multiLevelType w:val="hybridMultilevel"/>
    <w:tmpl w:val="A66875FA"/>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32091"/>
    <w:multiLevelType w:val="hybridMultilevel"/>
    <w:tmpl w:val="39446C32"/>
    <w:lvl w:ilvl="0" w:tplc="AA36875A">
      <w:start w:val="1"/>
      <w:numFmt w:val="decimal"/>
      <w:lvlText w:val="3.%1."/>
      <w:lvlJc w:val="left"/>
      <w:pPr>
        <w:ind w:left="510" w:hanging="51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930F74"/>
    <w:multiLevelType w:val="hybridMultilevel"/>
    <w:tmpl w:val="2368A9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0801BC"/>
    <w:multiLevelType w:val="hybridMultilevel"/>
    <w:tmpl w:val="983492C2"/>
    <w:lvl w:ilvl="0" w:tplc="6B283A7E">
      <w:start w:val="1"/>
      <w:numFmt w:val="decimal"/>
      <w:lvlText w:val="2.%1."/>
      <w:lvlJc w:val="left"/>
      <w:pPr>
        <w:ind w:left="510" w:hanging="51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1A4D"/>
    <w:multiLevelType w:val="hybridMultilevel"/>
    <w:tmpl w:val="769A8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FB45AA"/>
    <w:multiLevelType w:val="hybridMultilevel"/>
    <w:tmpl w:val="BE6A6B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451765"/>
    <w:multiLevelType w:val="hybridMultilevel"/>
    <w:tmpl w:val="7DC0B33E"/>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DD4B96"/>
    <w:multiLevelType w:val="hybridMultilevel"/>
    <w:tmpl w:val="190C2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84B83"/>
    <w:multiLevelType w:val="hybridMultilevel"/>
    <w:tmpl w:val="521088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0A3BB9"/>
    <w:multiLevelType w:val="hybridMultilevel"/>
    <w:tmpl w:val="2F9E45CA"/>
    <w:lvl w:ilvl="0" w:tplc="04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037A19"/>
    <w:multiLevelType w:val="hybridMultilevel"/>
    <w:tmpl w:val="D1AA0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5F08B0"/>
    <w:multiLevelType w:val="hybridMultilevel"/>
    <w:tmpl w:val="EB604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F7E6A"/>
    <w:multiLevelType w:val="hybridMultilevel"/>
    <w:tmpl w:val="04F46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C669EF"/>
    <w:multiLevelType w:val="hybridMultilevel"/>
    <w:tmpl w:val="6C709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23958"/>
    <w:multiLevelType w:val="hybridMultilevel"/>
    <w:tmpl w:val="DB26D9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2F56B5"/>
    <w:multiLevelType w:val="hybridMultilevel"/>
    <w:tmpl w:val="5010E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A567C8"/>
    <w:multiLevelType w:val="hybridMultilevel"/>
    <w:tmpl w:val="DAAE022E"/>
    <w:lvl w:ilvl="0" w:tplc="2D2EA96E">
      <w:start w:val="1"/>
      <w:numFmt w:val="decimal"/>
      <w:lvlText w:val="4.%1."/>
      <w:lvlJc w:val="left"/>
      <w:pPr>
        <w:ind w:left="510" w:hanging="51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940F5D"/>
    <w:multiLevelType w:val="hybridMultilevel"/>
    <w:tmpl w:val="208AB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BB3A32"/>
    <w:multiLevelType w:val="hybridMultilevel"/>
    <w:tmpl w:val="E2521C2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D831A3"/>
    <w:multiLevelType w:val="hybridMultilevel"/>
    <w:tmpl w:val="4FE805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A15713"/>
    <w:multiLevelType w:val="hybridMultilevel"/>
    <w:tmpl w:val="911C59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59C2A9F"/>
    <w:multiLevelType w:val="hybridMultilevel"/>
    <w:tmpl w:val="A9EC3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16859"/>
    <w:multiLevelType w:val="hybridMultilevel"/>
    <w:tmpl w:val="C436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7E13B11"/>
    <w:multiLevelType w:val="hybridMultilevel"/>
    <w:tmpl w:val="69881D0A"/>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8EA0CE5"/>
    <w:multiLevelType w:val="hybridMultilevel"/>
    <w:tmpl w:val="DB9C72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0713296"/>
    <w:multiLevelType w:val="hybridMultilevel"/>
    <w:tmpl w:val="D6C49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582565"/>
    <w:multiLevelType w:val="hybridMultilevel"/>
    <w:tmpl w:val="83782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115730"/>
    <w:multiLevelType w:val="hybridMultilevel"/>
    <w:tmpl w:val="38C0978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55F84A44"/>
    <w:multiLevelType w:val="hybridMultilevel"/>
    <w:tmpl w:val="0456D140"/>
    <w:lvl w:ilvl="0" w:tplc="CF28EDB2">
      <w:start w:val="1"/>
      <w:numFmt w:val="decimal"/>
      <w:lvlText w:val="1.%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21481"/>
    <w:multiLevelType w:val="hybridMultilevel"/>
    <w:tmpl w:val="98964F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20652B9"/>
    <w:multiLevelType w:val="hybridMultilevel"/>
    <w:tmpl w:val="A984C9FA"/>
    <w:lvl w:ilvl="0" w:tplc="CF28EDB2">
      <w:start w:val="1"/>
      <w:numFmt w:val="decimal"/>
      <w:lvlText w:val="1.%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1B7D89"/>
    <w:multiLevelType w:val="hybridMultilevel"/>
    <w:tmpl w:val="70088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3A621C5"/>
    <w:multiLevelType w:val="hybridMultilevel"/>
    <w:tmpl w:val="579C4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6237CC"/>
    <w:multiLevelType w:val="hybridMultilevel"/>
    <w:tmpl w:val="05CA8C0C"/>
    <w:lvl w:ilvl="0" w:tplc="CF28EDB2">
      <w:start w:val="1"/>
      <w:numFmt w:val="decimal"/>
      <w:lvlText w:val="1.%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9397D3A"/>
    <w:multiLevelType w:val="hybridMultilevel"/>
    <w:tmpl w:val="E1E83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96E7C04"/>
    <w:multiLevelType w:val="hybridMultilevel"/>
    <w:tmpl w:val="12BAC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D5648B2"/>
    <w:multiLevelType w:val="hybridMultilevel"/>
    <w:tmpl w:val="4B08ECAE"/>
    <w:lvl w:ilvl="0" w:tplc="013A650E">
      <w:start w:val="1"/>
      <w:numFmt w:val="decimal"/>
      <w:lvlText w:val="1.%1."/>
      <w:lvlJc w:val="left"/>
      <w:pPr>
        <w:ind w:left="510" w:hanging="510"/>
      </w:pPr>
      <w:rPr>
        <w:rFonts w:hint="default"/>
        <w:b w:val="0"/>
        <w:bCs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787D1D"/>
    <w:multiLevelType w:val="multilevel"/>
    <w:tmpl w:val="E1B22BDA"/>
    <w:lvl w:ilvl="0">
      <w:start w:val="1"/>
      <w:numFmt w:val="decimal"/>
      <w:pStyle w:val="CouncilHeading"/>
      <w:lvlText w:val="%1"/>
      <w:lvlJc w:val="left"/>
      <w:pPr>
        <w:tabs>
          <w:tab w:val="num" w:pos="786"/>
        </w:tabs>
        <w:ind w:left="786" w:hanging="360"/>
      </w:pPr>
      <w:rPr>
        <w:rFonts w:hint="default"/>
      </w:rPr>
    </w:lvl>
    <w:lvl w:ilvl="1">
      <w:start w:val="1"/>
      <w:numFmt w:val="decimal"/>
      <w:pStyle w:val="Counciltextnumbered"/>
      <w:lvlText w:val="%1.%2"/>
      <w:lvlJc w:val="left"/>
      <w:pPr>
        <w:tabs>
          <w:tab w:val="num" w:pos="1512"/>
        </w:tabs>
        <w:ind w:left="1512"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9" w15:restartNumberingAfterBreak="0">
    <w:nsid w:val="77C16BEC"/>
    <w:multiLevelType w:val="hybridMultilevel"/>
    <w:tmpl w:val="1F7E7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A05264"/>
    <w:multiLevelType w:val="hybridMultilevel"/>
    <w:tmpl w:val="2056D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B9146B1"/>
    <w:multiLevelType w:val="hybridMultilevel"/>
    <w:tmpl w:val="C116244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BD61A45"/>
    <w:multiLevelType w:val="hybridMultilevel"/>
    <w:tmpl w:val="42E489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34796110">
    <w:abstractNumId w:val="38"/>
  </w:num>
  <w:num w:numId="2" w16cid:durableId="852034098">
    <w:abstractNumId w:val="0"/>
  </w:num>
  <w:num w:numId="3" w16cid:durableId="204217718">
    <w:abstractNumId w:val="5"/>
  </w:num>
  <w:num w:numId="4" w16cid:durableId="1447777896">
    <w:abstractNumId w:val="3"/>
  </w:num>
  <w:num w:numId="5" w16cid:durableId="1426464317">
    <w:abstractNumId w:val="15"/>
  </w:num>
  <w:num w:numId="6" w16cid:durableId="1164009297">
    <w:abstractNumId w:val="25"/>
  </w:num>
  <w:num w:numId="7" w16cid:durableId="1742941718">
    <w:abstractNumId w:val="42"/>
  </w:num>
  <w:num w:numId="8" w16cid:durableId="1611274790">
    <w:abstractNumId w:val="1"/>
  </w:num>
  <w:num w:numId="9" w16cid:durableId="750470295">
    <w:abstractNumId w:val="8"/>
  </w:num>
  <w:num w:numId="10" w16cid:durableId="1222596243">
    <w:abstractNumId w:val="35"/>
  </w:num>
  <w:num w:numId="11" w16cid:durableId="137919805">
    <w:abstractNumId w:val="7"/>
  </w:num>
  <w:num w:numId="12" w16cid:durableId="1845437570">
    <w:abstractNumId w:val="22"/>
  </w:num>
  <w:num w:numId="13" w16cid:durableId="2065593804">
    <w:abstractNumId w:val="39"/>
  </w:num>
  <w:num w:numId="14" w16cid:durableId="709305431">
    <w:abstractNumId w:val="6"/>
  </w:num>
  <w:num w:numId="15" w16cid:durableId="1626540836">
    <w:abstractNumId w:val="18"/>
  </w:num>
  <w:num w:numId="16" w16cid:durableId="1720393305">
    <w:abstractNumId w:val="16"/>
  </w:num>
  <w:num w:numId="17" w16cid:durableId="1768963136">
    <w:abstractNumId w:val="21"/>
  </w:num>
  <w:num w:numId="18" w16cid:durableId="202908180">
    <w:abstractNumId w:val="40"/>
  </w:num>
  <w:num w:numId="19" w16cid:durableId="1000497959">
    <w:abstractNumId w:val="20"/>
  </w:num>
  <w:num w:numId="20" w16cid:durableId="1008866615">
    <w:abstractNumId w:val="11"/>
  </w:num>
  <w:num w:numId="21" w16cid:durableId="253784237">
    <w:abstractNumId w:val="23"/>
  </w:num>
  <w:num w:numId="22" w16cid:durableId="522061254">
    <w:abstractNumId w:val="33"/>
  </w:num>
  <w:num w:numId="23" w16cid:durableId="728000914">
    <w:abstractNumId w:val="26"/>
  </w:num>
  <w:num w:numId="24" w16cid:durableId="931284100">
    <w:abstractNumId w:val="36"/>
  </w:num>
  <w:num w:numId="25" w16cid:durableId="550118531">
    <w:abstractNumId w:val="32"/>
  </w:num>
  <w:num w:numId="26" w16cid:durableId="1305113306">
    <w:abstractNumId w:val="27"/>
  </w:num>
  <w:num w:numId="27" w16cid:durableId="1845434623">
    <w:abstractNumId w:val="9"/>
  </w:num>
  <w:num w:numId="28" w16cid:durableId="82386252">
    <w:abstractNumId w:val="24"/>
  </w:num>
  <w:num w:numId="29" w16cid:durableId="1383409386">
    <w:abstractNumId w:val="19"/>
  </w:num>
  <w:num w:numId="30" w16cid:durableId="474839489">
    <w:abstractNumId w:val="28"/>
  </w:num>
  <w:num w:numId="31" w16cid:durableId="107431222">
    <w:abstractNumId w:val="41"/>
  </w:num>
  <w:num w:numId="32" w16cid:durableId="166557502">
    <w:abstractNumId w:val="30"/>
  </w:num>
  <w:num w:numId="33" w16cid:durableId="1950237244">
    <w:abstractNumId w:val="13"/>
  </w:num>
  <w:num w:numId="34" w16cid:durableId="997733957">
    <w:abstractNumId w:val="14"/>
  </w:num>
  <w:num w:numId="35" w16cid:durableId="2106992325">
    <w:abstractNumId w:val="37"/>
  </w:num>
  <w:num w:numId="36" w16cid:durableId="506335942">
    <w:abstractNumId w:val="31"/>
  </w:num>
  <w:num w:numId="37" w16cid:durableId="1595898680">
    <w:abstractNumId w:val="29"/>
  </w:num>
  <w:num w:numId="38" w16cid:durableId="1816753117">
    <w:abstractNumId w:val="10"/>
  </w:num>
  <w:num w:numId="39" w16cid:durableId="1454715765">
    <w:abstractNumId w:val="34"/>
  </w:num>
  <w:num w:numId="40" w16cid:durableId="1916745119">
    <w:abstractNumId w:val="4"/>
  </w:num>
  <w:num w:numId="41" w16cid:durableId="535460774">
    <w:abstractNumId w:val="17"/>
  </w:num>
  <w:num w:numId="42" w16cid:durableId="1394890711">
    <w:abstractNumId w:val="12"/>
  </w:num>
  <w:num w:numId="43" w16cid:durableId="34887446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C9E"/>
    <w:rsid w:val="0000196D"/>
    <w:rsid w:val="00003194"/>
    <w:rsid w:val="00004446"/>
    <w:rsid w:val="0000639B"/>
    <w:rsid w:val="0001034C"/>
    <w:rsid w:val="00012025"/>
    <w:rsid w:val="00013C77"/>
    <w:rsid w:val="00023CA6"/>
    <w:rsid w:val="000250F7"/>
    <w:rsid w:val="000327D4"/>
    <w:rsid w:val="00041500"/>
    <w:rsid w:val="00041696"/>
    <w:rsid w:val="00042922"/>
    <w:rsid w:val="00043507"/>
    <w:rsid w:val="00045E7E"/>
    <w:rsid w:val="00056F50"/>
    <w:rsid w:val="000571F3"/>
    <w:rsid w:val="00063032"/>
    <w:rsid w:val="0006391A"/>
    <w:rsid w:val="00064E6C"/>
    <w:rsid w:val="00065E39"/>
    <w:rsid w:val="00067C1E"/>
    <w:rsid w:val="0007028C"/>
    <w:rsid w:val="00070346"/>
    <w:rsid w:val="00071BC0"/>
    <w:rsid w:val="000741ED"/>
    <w:rsid w:val="0007548C"/>
    <w:rsid w:val="0007799B"/>
    <w:rsid w:val="00080F04"/>
    <w:rsid w:val="000817CB"/>
    <w:rsid w:val="00091126"/>
    <w:rsid w:val="00092515"/>
    <w:rsid w:val="00092C42"/>
    <w:rsid w:val="00095F12"/>
    <w:rsid w:val="000A740E"/>
    <w:rsid w:val="000A7EFF"/>
    <w:rsid w:val="000B3E2B"/>
    <w:rsid w:val="000B5A56"/>
    <w:rsid w:val="000C5C4D"/>
    <w:rsid w:val="000C6246"/>
    <w:rsid w:val="000C6CAE"/>
    <w:rsid w:val="000D13A5"/>
    <w:rsid w:val="000D1D4C"/>
    <w:rsid w:val="000D5C7B"/>
    <w:rsid w:val="000D7E3D"/>
    <w:rsid w:val="000E4031"/>
    <w:rsid w:val="000E43A3"/>
    <w:rsid w:val="000F2899"/>
    <w:rsid w:val="000F2C23"/>
    <w:rsid w:val="000F3ECC"/>
    <w:rsid w:val="000F63CF"/>
    <w:rsid w:val="001024EF"/>
    <w:rsid w:val="00105550"/>
    <w:rsid w:val="00113EAA"/>
    <w:rsid w:val="00114E8F"/>
    <w:rsid w:val="00117AE1"/>
    <w:rsid w:val="00120147"/>
    <w:rsid w:val="00120A6F"/>
    <w:rsid w:val="00120C18"/>
    <w:rsid w:val="00122666"/>
    <w:rsid w:val="001241D3"/>
    <w:rsid w:val="001260E8"/>
    <w:rsid w:val="0012756E"/>
    <w:rsid w:val="00132F6E"/>
    <w:rsid w:val="00133487"/>
    <w:rsid w:val="0013493A"/>
    <w:rsid w:val="001440B3"/>
    <w:rsid w:val="00146B63"/>
    <w:rsid w:val="00156A2C"/>
    <w:rsid w:val="00157CCC"/>
    <w:rsid w:val="001620A4"/>
    <w:rsid w:val="001727D7"/>
    <w:rsid w:val="0017518A"/>
    <w:rsid w:val="00176653"/>
    <w:rsid w:val="00176BEA"/>
    <w:rsid w:val="001860B7"/>
    <w:rsid w:val="001865E9"/>
    <w:rsid w:val="00187025"/>
    <w:rsid w:val="00190275"/>
    <w:rsid w:val="001925F2"/>
    <w:rsid w:val="001927F1"/>
    <w:rsid w:val="001930FA"/>
    <w:rsid w:val="00195581"/>
    <w:rsid w:val="001A08D0"/>
    <w:rsid w:val="001A0B1B"/>
    <w:rsid w:val="001A28B5"/>
    <w:rsid w:val="001A5A86"/>
    <w:rsid w:val="001A7C0A"/>
    <w:rsid w:val="001A7CA6"/>
    <w:rsid w:val="001B1EA2"/>
    <w:rsid w:val="001B71E7"/>
    <w:rsid w:val="001C1184"/>
    <w:rsid w:val="001C1E87"/>
    <w:rsid w:val="001C37F6"/>
    <w:rsid w:val="001C50BD"/>
    <w:rsid w:val="001C6ECA"/>
    <w:rsid w:val="001D0E6D"/>
    <w:rsid w:val="001D183E"/>
    <w:rsid w:val="001E55E9"/>
    <w:rsid w:val="001E6B2B"/>
    <w:rsid w:val="001F1A35"/>
    <w:rsid w:val="001F255B"/>
    <w:rsid w:val="001F52FC"/>
    <w:rsid w:val="001F77C9"/>
    <w:rsid w:val="0020085C"/>
    <w:rsid w:val="00206686"/>
    <w:rsid w:val="00206DC3"/>
    <w:rsid w:val="002072E2"/>
    <w:rsid w:val="00207806"/>
    <w:rsid w:val="0021122D"/>
    <w:rsid w:val="0021498F"/>
    <w:rsid w:val="00214AF3"/>
    <w:rsid w:val="00214FA1"/>
    <w:rsid w:val="00215AF3"/>
    <w:rsid w:val="00216C1D"/>
    <w:rsid w:val="00216D96"/>
    <w:rsid w:val="00220F4C"/>
    <w:rsid w:val="002227AF"/>
    <w:rsid w:val="002347D1"/>
    <w:rsid w:val="00236AC2"/>
    <w:rsid w:val="002403D4"/>
    <w:rsid w:val="002413E4"/>
    <w:rsid w:val="00241949"/>
    <w:rsid w:val="0024269D"/>
    <w:rsid w:val="00242F77"/>
    <w:rsid w:val="0024306E"/>
    <w:rsid w:val="0024496D"/>
    <w:rsid w:val="00245209"/>
    <w:rsid w:val="00245941"/>
    <w:rsid w:val="00252555"/>
    <w:rsid w:val="0025523C"/>
    <w:rsid w:val="00262E9A"/>
    <w:rsid w:val="00264DC2"/>
    <w:rsid w:val="00265026"/>
    <w:rsid w:val="00266B78"/>
    <w:rsid w:val="002702D3"/>
    <w:rsid w:val="0028118C"/>
    <w:rsid w:val="00282EF6"/>
    <w:rsid w:val="00285752"/>
    <w:rsid w:val="0029103E"/>
    <w:rsid w:val="002922E3"/>
    <w:rsid w:val="002A0B9A"/>
    <w:rsid w:val="002A153D"/>
    <w:rsid w:val="002A2B5E"/>
    <w:rsid w:val="002A70BA"/>
    <w:rsid w:val="002A7E5C"/>
    <w:rsid w:val="002B60BA"/>
    <w:rsid w:val="002B79E8"/>
    <w:rsid w:val="002C120D"/>
    <w:rsid w:val="002C25FF"/>
    <w:rsid w:val="002C2A5A"/>
    <w:rsid w:val="002C4ED5"/>
    <w:rsid w:val="002C592B"/>
    <w:rsid w:val="002D4769"/>
    <w:rsid w:val="002D69DB"/>
    <w:rsid w:val="002D702E"/>
    <w:rsid w:val="002D7293"/>
    <w:rsid w:val="002D7998"/>
    <w:rsid w:val="002E2191"/>
    <w:rsid w:val="002E4AC5"/>
    <w:rsid w:val="002F7264"/>
    <w:rsid w:val="002F7C59"/>
    <w:rsid w:val="00301090"/>
    <w:rsid w:val="003010AA"/>
    <w:rsid w:val="00302904"/>
    <w:rsid w:val="003047C3"/>
    <w:rsid w:val="0030781C"/>
    <w:rsid w:val="00313301"/>
    <w:rsid w:val="00316220"/>
    <w:rsid w:val="003166CB"/>
    <w:rsid w:val="003168EB"/>
    <w:rsid w:val="003236C3"/>
    <w:rsid w:val="003307A2"/>
    <w:rsid w:val="0033338C"/>
    <w:rsid w:val="003345C4"/>
    <w:rsid w:val="00336106"/>
    <w:rsid w:val="00337149"/>
    <w:rsid w:val="00342DCF"/>
    <w:rsid w:val="00345516"/>
    <w:rsid w:val="00346260"/>
    <w:rsid w:val="00346F6A"/>
    <w:rsid w:val="00352EE7"/>
    <w:rsid w:val="00355F73"/>
    <w:rsid w:val="003641A6"/>
    <w:rsid w:val="00365263"/>
    <w:rsid w:val="0037396D"/>
    <w:rsid w:val="00373BC0"/>
    <w:rsid w:val="00374983"/>
    <w:rsid w:val="003752E5"/>
    <w:rsid w:val="00380AE5"/>
    <w:rsid w:val="00380E01"/>
    <w:rsid w:val="0038354C"/>
    <w:rsid w:val="003846CE"/>
    <w:rsid w:val="003858D2"/>
    <w:rsid w:val="00387B85"/>
    <w:rsid w:val="00387E89"/>
    <w:rsid w:val="00396E9B"/>
    <w:rsid w:val="003A01E4"/>
    <w:rsid w:val="003A3DF4"/>
    <w:rsid w:val="003A4FDD"/>
    <w:rsid w:val="003B1E58"/>
    <w:rsid w:val="003B20B8"/>
    <w:rsid w:val="003B259B"/>
    <w:rsid w:val="003B3A9A"/>
    <w:rsid w:val="003C4A41"/>
    <w:rsid w:val="003D03A9"/>
    <w:rsid w:val="003D4308"/>
    <w:rsid w:val="003E62A5"/>
    <w:rsid w:val="003E7313"/>
    <w:rsid w:val="003F1053"/>
    <w:rsid w:val="003F23F6"/>
    <w:rsid w:val="003F254A"/>
    <w:rsid w:val="003F6221"/>
    <w:rsid w:val="003F68C9"/>
    <w:rsid w:val="00400FFF"/>
    <w:rsid w:val="00402639"/>
    <w:rsid w:val="00405786"/>
    <w:rsid w:val="00405A43"/>
    <w:rsid w:val="00406E33"/>
    <w:rsid w:val="00410675"/>
    <w:rsid w:val="0041538B"/>
    <w:rsid w:val="00415D6C"/>
    <w:rsid w:val="0042236C"/>
    <w:rsid w:val="004301E2"/>
    <w:rsid w:val="00430559"/>
    <w:rsid w:val="004327E3"/>
    <w:rsid w:val="00445E12"/>
    <w:rsid w:val="00446C59"/>
    <w:rsid w:val="004534A4"/>
    <w:rsid w:val="00457CCE"/>
    <w:rsid w:val="00460510"/>
    <w:rsid w:val="004628F5"/>
    <w:rsid w:val="00463490"/>
    <w:rsid w:val="00473962"/>
    <w:rsid w:val="00475C7B"/>
    <w:rsid w:val="00475C8D"/>
    <w:rsid w:val="00480280"/>
    <w:rsid w:val="004829D3"/>
    <w:rsid w:val="004851E2"/>
    <w:rsid w:val="00487760"/>
    <w:rsid w:val="00490C13"/>
    <w:rsid w:val="00493C92"/>
    <w:rsid w:val="00497772"/>
    <w:rsid w:val="004A051B"/>
    <w:rsid w:val="004A173E"/>
    <w:rsid w:val="004A337C"/>
    <w:rsid w:val="004A54DF"/>
    <w:rsid w:val="004A7CE5"/>
    <w:rsid w:val="004B7ADA"/>
    <w:rsid w:val="004C5722"/>
    <w:rsid w:val="004C5F4F"/>
    <w:rsid w:val="004D335F"/>
    <w:rsid w:val="004D560E"/>
    <w:rsid w:val="004D6AFE"/>
    <w:rsid w:val="004E0C39"/>
    <w:rsid w:val="004E13FC"/>
    <w:rsid w:val="004E1FCA"/>
    <w:rsid w:val="004E295D"/>
    <w:rsid w:val="004E30FE"/>
    <w:rsid w:val="004E4D8B"/>
    <w:rsid w:val="004E5718"/>
    <w:rsid w:val="004E57E9"/>
    <w:rsid w:val="004E7757"/>
    <w:rsid w:val="004F12F9"/>
    <w:rsid w:val="004F397B"/>
    <w:rsid w:val="004F498D"/>
    <w:rsid w:val="004F70EC"/>
    <w:rsid w:val="004F792E"/>
    <w:rsid w:val="00501B35"/>
    <w:rsid w:val="005022B4"/>
    <w:rsid w:val="00510C32"/>
    <w:rsid w:val="00513237"/>
    <w:rsid w:val="00513FCE"/>
    <w:rsid w:val="00514590"/>
    <w:rsid w:val="00517023"/>
    <w:rsid w:val="00521573"/>
    <w:rsid w:val="00522AA1"/>
    <w:rsid w:val="005245F1"/>
    <w:rsid w:val="00525654"/>
    <w:rsid w:val="0053039A"/>
    <w:rsid w:val="005322EF"/>
    <w:rsid w:val="00537795"/>
    <w:rsid w:val="00543F33"/>
    <w:rsid w:val="00543FB9"/>
    <w:rsid w:val="0054465B"/>
    <w:rsid w:val="00544EF2"/>
    <w:rsid w:val="00545C2D"/>
    <w:rsid w:val="00546546"/>
    <w:rsid w:val="0055116C"/>
    <w:rsid w:val="005601CE"/>
    <w:rsid w:val="005608BE"/>
    <w:rsid w:val="005637E5"/>
    <w:rsid w:val="00564DF6"/>
    <w:rsid w:val="00565949"/>
    <w:rsid w:val="00566258"/>
    <w:rsid w:val="0056745A"/>
    <w:rsid w:val="00567A94"/>
    <w:rsid w:val="005711A4"/>
    <w:rsid w:val="00572417"/>
    <w:rsid w:val="00574487"/>
    <w:rsid w:val="005800D3"/>
    <w:rsid w:val="005805E7"/>
    <w:rsid w:val="005877FF"/>
    <w:rsid w:val="00591208"/>
    <w:rsid w:val="00593846"/>
    <w:rsid w:val="0059527C"/>
    <w:rsid w:val="005964E2"/>
    <w:rsid w:val="005966E3"/>
    <w:rsid w:val="005975D3"/>
    <w:rsid w:val="005A3609"/>
    <w:rsid w:val="005A37D5"/>
    <w:rsid w:val="005A4943"/>
    <w:rsid w:val="005A5E56"/>
    <w:rsid w:val="005B38DC"/>
    <w:rsid w:val="005B5860"/>
    <w:rsid w:val="005B624E"/>
    <w:rsid w:val="005B6BE8"/>
    <w:rsid w:val="005B7598"/>
    <w:rsid w:val="005C1100"/>
    <w:rsid w:val="005C152A"/>
    <w:rsid w:val="005C3F91"/>
    <w:rsid w:val="005D1DD4"/>
    <w:rsid w:val="005D554C"/>
    <w:rsid w:val="005E086C"/>
    <w:rsid w:val="005E1BAF"/>
    <w:rsid w:val="005E246C"/>
    <w:rsid w:val="005E492A"/>
    <w:rsid w:val="005E634B"/>
    <w:rsid w:val="005E6B70"/>
    <w:rsid w:val="005F0741"/>
    <w:rsid w:val="005F35AE"/>
    <w:rsid w:val="005F4227"/>
    <w:rsid w:val="005F5046"/>
    <w:rsid w:val="00603060"/>
    <w:rsid w:val="00603514"/>
    <w:rsid w:val="00607578"/>
    <w:rsid w:val="00610347"/>
    <w:rsid w:val="006118DB"/>
    <w:rsid w:val="0061196B"/>
    <w:rsid w:val="00616AA5"/>
    <w:rsid w:val="00616DFF"/>
    <w:rsid w:val="0061770A"/>
    <w:rsid w:val="0062318B"/>
    <w:rsid w:val="00623C11"/>
    <w:rsid w:val="00623FC6"/>
    <w:rsid w:val="00624112"/>
    <w:rsid w:val="006274C7"/>
    <w:rsid w:val="00627A30"/>
    <w:rsid w:val="00630AC8"/>
    <w:rsid w:val="00637946"/>
    <w:rsid w:val="0064048E"/>
    <w:rsid w:val="00641827"/>
    <w:rsid w:val="006422C5"/>
    <w:rsid w:val="00644BF8"/>
    <w:rsid w:val="0064759A"/>
    <w:rsid w:val="00647F82"/>
    <w:rsid w:val="00651EEC"/>
    <w:rsid w:val="006529DE"/>
    <w:rsid w:val="00654DE6"/>
    <w:rsid w:val="00654E31"/>
    <w:rsid w:val="00656064"/>
    <w:rsid w:val="00656F6C"/>
    <w:rsid w:val="00657AF1"/>
    <w:rsid w:val="00660B41"/>
    <w:rsid w:val="00660CE3"/>
    <w:rsid w:val="00661EFB"/>
    <w:rsid w:val="0066268A"/>
    <w:rsid w:val="006626BD"/>
    <w:rsid w:val="0066562C"/>
    <w:rsid w:val="006732C5"/>
    <w:rsid w:val="00673EBD"/>
    <w:rsid w:val="0067523F"/>
    <w:rsid w:val="00675C1E"/>
    <w:rsid w:val="006803E3"/>
    <w:rsid w:val="006810E6"/>
    <w:rsid w:val="00682A34"/>
    <w:rsid w:val="0068458B"/>
    <w:rsid w:val="0068508E"/>
    <w:rsid w:val="00686BA2"/>
    <w:rsid w:val="0068734A"/>
    <w:rsid w:val="006877C2"/>
    <w:rsid w:val="0069030D"/>
    <w:rsid w:val="00690AAC"/>
    <w:rsid w:val="00693CCC"/>
    <w:rsid w:val="0069728C"/>
    <w:rsid w:val="00697B6D"/>
    <w:rsid w:val="006A03B2"/>
    <w:rsid w:val="006A57E3"/>
    <w:rsid w:val="006B0BD2"/>
    <w:rsid w:val="006B247A"/>
    <w:rsid w:val="006B261A"/>
    <w:rsid w:val="006B2CAB"/>
    <w:rsid w:val="006B7306"/>
    <w:rsid w:val="006C212A"/>
    <w:rsid w:val="006C2EE0"/>
    <w:rsid w:val="006C35E9"/>
    <w:rsid w:val="006C653D"/>
    <w:rsid w:val="006C7B59"/>
    <w:rsid w:val="006D07A4"/>
    <w:rsid w:val="006D07EA"/>
    <w:rsid w:val="006E003D"/>
    <w:rsid w:val="006E55C5"/>
    <w:rsid w:val="006F206A"/>
    <w:rsid w:val="006F3424"/>
    <w:rsid w:val="006F74B2"/>
    <w:rsid w:val="007021D2"/>
    <w:rsid w:val="00702885"/>
    <w:rsid w:val="00702DDD"/>
    <w:rsid w:val="00704306"/>
    <w:rsid w:val="00706915"/>
    <w:rsid w:val="00706FCF"/>
    <w:rsid w:val="0070733A"/>
    <w:rsid w:val="007142B8"/>
    <w:rsid w:val="00714538"/>
    <w:rsid w:val="00715E74"/>
    <w:rsid w:val="00717413"/>
    <w:rsid w:val="00721A08"/>
    <w:rsid w:val="00721B39"/>
    <w:rsid w:val="00724575"/>
    <w:rsid w:val="00725101"/>
    <w:rsid w:val="007251A3"/>
    <w:rsid w:val="0072529B"/>
    <w:rsid w:val="00725965"/>
    <w:rsid w:val="00732046"/>
    <w:rsid w:val="00733334"/>
    <w:rsid w:val="00733994"/>
    <w:rsid w:val="00735BC9"/>
    <w:rsid w:val="00735F6F"/>
    <w:rsid w:val="00736DCF"/>
    <w:rsid w:val="00737CCD"/>
    <w:rsid w:val="00737E28"/>
    <w:rsid w:val="0074238E"/>
    <w:rsid w:val="00743992"/>
    <w:rsid w:val="00752B8B"/>
    <w:rsid w:val="00756F9F"/>
    <w:rsid w:val="00757A6C"/>
    <w:rsid w:val="00763C36"/>
    <w:rsid w:val="00765A22"/>
    <w:rsid w:val="00767E1D"/>
    <w:rsid w:val="007703C8"/>
    <w:rsid w:val="00780EE5"/>
    <w:rsid w:val="007866BC"/>
    <w:rsid w:val="00787D73"/>
    <w:rsid w:val="00795B3E"/>
    <w:rsid w:val="00795C7D"/>
    <w:rsid w:val="007960E8"/>
    <w:rsid w:val="007A7CD1"/>
    <w:rsid w:val="007B6D82"/>
    <w:rsid w:val="007C0E4A"/>
    <w:rsid w:val="007C3420"/>
    <w:rsid w:val="007D000B"/>
    <w:rsid w:val="007D4A09"/>
    <w:rsid w:val="007E0C1E"/>
    <w:rsid w:val="007E4245"/>
    <w:rsid w:val="007E5CAB"/>
    <w:rsid w:val="007E6679"/>
    <w:rsid w:val="007E7BA9"/>
    <w:rsid w:val="007F462A"/>
    <w:rsid w:val="007F49B1"/>
    <w:rsid w:val="007F7874"/>
    <w:rsid w:val="00801189"/>
    <w:rsid w:val="008014BA"/>
    <w:rsid w:val="00811EAE"/>
    <w:rsid w:val="00813B2C"/>
    <w:rsid w:val="00816BC4"/>
    <w:rsid w:val="00816C2F"/>
    <w:rsid w:val="00816FAE"/>
    <w:rsid w:val="00817F4B"/>
    <w:rsid w:val="008241D6"/>
    <w:rsid w:val="0082561E"/>
    <w:rsid w:val="00826B1E"/>
    <w:rsid w:val="0083131E"/>
    <w:rsid w:val="0083139F"/>
    <w:rsid w:val="008315B4"/>
    <w:rsid w:val="008321A4"/>
    <w:rsid w:val="0083404A"/>
    <w:rsid w:val="008362B7"/>
    <w:rsid w:val="0083669D"/>
    <w:rsid w:val="00837096"/>
    <w:rsid w:val="0083755B"/>
    <w:rsid w:val="00845C77"/>
    <w:rsid w:val="00852227"/>
    <w:rsid w:val="00853A31"/>
    <w:rsid w:val="008555A0"/>
    <w:rsid w:val="0086271C"/>
    <w:rsid w:val="0086380F"/>
    <w:rsid w:val="00863F04"/>
    <w:rsid w:val="008655F1"/>
    <w:rsid w:val="00867D67"/>
    <w:rsid w:val="00870D0E"/>
    <w:rsid w:val="008759DD"/>
    <w:rsid w:val="0088073B"/>
    <w:rsid w:val="00881774"/>
    <w:rsid w:val="0088283B"/>
    <w:rsid w:val="00886496"/>
    <w:rsid w:val="00891B5B"/>
    <w:rsid w:val="008A0E9C"/>
    <w:rsid w:val="008A19F0"/>
    <w:rsid w:val="008A2B96"/>
    <w:rsid w:val="008A3EA8"/>
    <w:rsid w:val="008A5EF2"/>
    <w:rsid w:val="008C0496"/>
    <w:rsid w:val="008C08F0"/>
    <w:rsid w:val="008C45D8"/>
    <w:rsid w:val="008D0089"/>
    <w:rsid w:val="008D1022"/>
    <w:rsid w:val="008D1449"/>
    <w:rsid w:val="008D5D92"/>
    <w:rsid w:val="008E03EE"/>
    <w:rsid w:val="008E0BA6"/>
    <w:rsid w:val="008F0D1E"/>
    <w:rsid w:val="008F1178"/>
    <w:rsid w:val="008F4345"/>
    <w:rsid w:val="00907232"/>
    <w:rsid w:val="009074D5"/>
    <w:rsid w:val="0091483B"/>
    <w:rsid w:val="00915E04"/>
    <w:rsid w:val="00922422"/>
    <w:rsid w:val="009224A3"/>
    <w:rsid w:val="00922E70"/>
    <w:rsid w:val="009318FA"/>
    <w:rsid w:val="00934755"/>
    <w:rsid w:val="009375F3"/>
    <w:rsid w:val="00940BE6"/>
    <w:rsid w:val="00943481"/>
    <w:rsid w:val="00943524"/>
    <w:rsid w:val="00944AA2"/>
    <w:rsid w:val="00947B31"/>
    <w:rsid w:val="00950047"/>
    <w:rsid w:val="00951931"/>
    <w:rsid w:val="0095261C"/>
    <w:rsid w:val="00953CF9"/>
    <w:rsid w:val="00953DF8"/>
    <w:rsid w:val="009548A6"/>
    <w:rsid w:val="0096035C"/>
    <w:rsid w:val="00962AD9"/>
    <w:rsid w:val="00971609"/>
    <w:rsid w:val="00977F9E"/>
    <w:rsid w:val="00987CBA"/>
    <w:rsid w:val="009920AD"/>
    <w:rsid w:val="00992C53"/>
    <w:rsid w:val="00997A11"/>
    <w:rsid w:val="009A293E"/>
    <w:rsid w:val="009A4B18"/>
    <w:rsid w:val="009A5DE7"/>
    <w:rsid w:val="009B245B"/>
    <w:rsid w:val="009B5885"/>
    <w:rsid w:val="009B60E8"/>
    <w:rsid w:val="009B66B7"/>
    <w:rsid w:val="009C12C1"/>
    <w:rsid w:val="009C7AAD"/>
    <w:rsid w:val="009E334B"/>
    <w:rsid w:val="009E6348"/>
    <w:rsid w:val="009E649B"/>
    <w:rsid w:val="009F6909"/>
    <w:rsid w:val="009F716A"/>
    <w:rsid w:val="00A01931"/>
    <w:rsid w:val="00A022EC"/>
    <w:rsid w:val="00A0330B"/>
    <w:rsid w:val="00A046E1"/>
    <w:rsid w:val="00A07AF2"/>
    <w:rsid w:val="00A10B01"/>
    <w:rsid w:val="00A1762B"/>
    <w:rsid w:val="00A209B7"/>
    <w:rsid w:val="00A24D57"/>
    <w:rsid w:val="00A257BB"/>
    <w:rsid w:val="00A25961"/>
    <w:rsid w:val="00A27F4A"/>
    <w:rsid w:val="00A34458"/>
    <w:rsid w:val="00A35084"/>
    <w:rsid w:val="00A350EC"/>
    <w:rsid w:val="00A37A2A"/>
    <w:rsid w:val="00A405B3"/>
    <w:rsid w:val="00A41BE1"/>
    <w:rsid w:val="00A43B9A"/>
    <w:rsid w:val="00A46807"/>
    <w:rsid w:val="00A521AB"/>
    <w:rsid w:val="00A62ED9"/>
    <w:rsid w:val="00A66237"/>
    <w:rsid w:val="00A669C3"/>
    <w:rsid w:val="00A67B4F"/>
    <w:rsid w:val="00A67C46"/>
    <w:rsid w:val="00A71697"/>
    <w:rsid w:val="00A74394"/>
    <w:rsid w:val="00A74C65"/>
    <w:rsid w:val="00A7522A"/>
    <w:rsid w:val="00A762E3"/>
    <w:rsid w:val="00A80244"/>
    <w:rsid w:val="00A86B22"/>
    <w:rsid w:val="00A931C0"/>
    <w:rsid w:val="00A94720"/>
    <w:rsid w:val="00A9499F"/>
    <w:rsid w:val="00A97A1F"/>
    <w:rsid w:val="00AA2B39"/>
    <w:rsid w:val="00AA7836"/>
    <w:rsid w:val="00AA7906"/>
    <w:rsid w:val="00AB10A4"/>
    <w:rsid w:val="00AB2188"/>
    <w:rsid w:val="00AB3A86"/>
    <w:rsid w:val="00AC241F"/>
    <w:rsid w:val="00AC4ECE"/>
    <w:rsid w:val="00AC5313"/>
    <w:rsid w:val="00AD372D"/>
    <w:rsid w:val="00AD3E36"/>
    <w:rsid w:val="00AD65DC"/>
    <w:rsid w:val="00AE4367"/>
    <w:rsid w:val="00AE618A"/>
    <w:rsid w:val="00AF5640"/>
    <w:rsid w:val="00AF573D"/>
    <w:rsid w:val="00B0242B"/>
    <w:rsid w:val="00B031A4"/>
    <w:rsid w:val="00B0461B"/>
    <w:rsid w:val="00B13A8D"/>
    <w:rsid w:val="00B16649"/>
    <w:rsid w:val="00B21EA7"/>
    <w:rsid w:val="00B236F1"/>
    <w:rsid w:val="00B264E6"/>
    <w:rsid w:val="00B3457B"/>
    <w:rsid w:val="00B36A3E"/>
    <w:rsid w:val="00B41AD4"/>
    <w:rsid w:val="00B44A93"/>
    <w:rsid w:val="00B461FC"/>
    <w:rsid w:val="00B510A4"/>
    <w:rsid w:val="00B53128"/>
    <w:rsid w:val="00B54379"/>
    <w:rsid w:val="00B54A78"/>
    <w:rsid w:val="00B55F82"/>
    <w:rsid w:val="00B74EFC"/>
    <w:rsid w:val="00B7545F"/>
    <w:rsid w:val="00B82A1B"/>
    <w:rsid w:val="00B836CF"/>
    <w:rsid w:val="00B86DDC"/>
    <w:rsid w:val="00B91B35"/>
    <w:rsid w:val="00B91F2D"/>
    <w:rsid w:val="00B9531E"/>
    <w:rsid w:val="00B961D4"/>
    <w:rsid w:val="00BA2C72"/>
    <w:rsid w:val="00BA5C98"/>
    <w:rsid w:val="00BA6066"/>
    <w:rsid w:val="00BB0E64"/>
    <w:rsid w:val="00BB6C22"/>
    <w:rsid w:val="00BB76B8"/>
    <w:rsid w:val="00BC491A"/>
    <w:rsid w:val="00BD00B3"/>
    <w:rsid w:val="00BD394F"/>
    <w:rsid w:val="00BD4ED1"/>
    <w:rsid w:val="00BD5EAA"/>
    <w:rsid w:val="00BE07E1"/>
    <w:rsid w:val="00BE0C12"/>
    <w:rsid w:val="00BE406D"/>
    <w:rsid w:val="00BE4D4C"/>
    <w:rsid w:val="00BF2393"/>
    <w:rsid w:val="00BF5C7A"/>
    <w:rsid w:val="00BF7135"/>
    <w:rsid w:val="00BF718E"/>
    <w:rsid w:val="00C00ADD"/>
    <w:rsid w:val="00C01C89"/>
    <w:rsid w:val="00C021D6"/>
    <w:rsid w:val="00C0495E"/>
    <w:rsid w:val="00C06F43"/>
    <w:rsid w:val="00C141D9"/>
    <w:rsid w:val="00C1508F"/>
    <w:rsid w:val="00C17918"/>
    <w:rsid w:val="00C17D61"/>
    <w:rsid w:val="00C21033"/>
    <w:rsid w:val="00C24D12"/>
    <w:rsid w:val="00C33CB4"/>
    <w:rsid w:val="00C37184"/>
    <w:rsid w:val="00C40560"/>
    <w:rsid w:val="00C42237"/>
    <w:rsid w:val="00C462E2"/>
    <w:rsid w:val="00C475EA"/>
    <w:rsid w:val="00C504CD"/>
    <w:rsid w:val="00C526DB"/>
    <w:rsid w:val="00C532B9"/>
    <w:rsid w:val="00C5515B"/>
    <w:rsid w:val="00C61719"/>
    <w:rsid w:val="00C61E10"/>
    <w:rsid w:val="00C61F70"/>
    <w:rsid w:val="00C65735"/>
    <w:rsid w:val="00C67C31"/>
    <w:rsid w:val="00C724B3"/>
    <w:rsid w:val="00C73C9E"/>
    <w:rsid w:val="00C751AA"/>
    <w:rsid w:val="00C776D2"/>
    <w:rsid w:val="00C8484C"/>
    <w:rsid w:val="00C95C63"/>
    <w:rsid w:val="00C96564"/>
    <w:rsid w:val="00C9681B"/>
    <w:rsid w:val="00C97DA2"/>
    <w:rsid w:val="00CA3A90"/>
    <w:rsid w:val="00CB00F7"/>
    <w:rsid w:val="00CB1F24"/>
    <w:rsid w:val="00CB2F22"/>
    <w:rsid w:val="00CB7784"/>
    <w:rsid w:val="00CC4FA2"/>
    <w:rsid w:val="00CC67F0"/>
    <w:rsid w:val="00CC6A62"/>
    <w:rsid w:val="00CC6C6B"/>
    <w:rsid w:val="00CD09FF"/>
    <w:rsid w:val="00CD6643"/>
    <w:rsid w:val="00CD6F20"/>
    <w:rsid w:val="00CE0EBF"/>
    <w:rsid w:val="00CE5B6B"/>
    <w:rsid w:val="00CF0AB5"/>
    <w:rsid w:val="00CF1B62"/>
    <w:rsid w:val="00CF58EA"/>
    <w:rsid w:val="00CF6367"/>
    <w:rsid w:val="00D00FD9"/>
    <w:rsid w:val="00D03762"/>
    <w:rsid w:val="00D04D18"/>
    <w:rsid w:val="00D11A55"/>
    <w:rsid w:val="00D135EA"/>
    <w:rsid w:val="00D1496D"/>
    <w:rsid w:val="00D15E4E"/>
    <w:rsid w:val="00D24DB8"/>
    <w:rsid w:val="00D26F9A"/>
    <w:rsid w:val="00D2743F"/>
    <w:rsid w:val="00D32693"/>
    <w:rsid w:val="00D336B3"/>
    <w:rsid w:val="00D4039C"/>
    <w:rsid w:val="00D42875"/>
    <w:rsid w:val="00D42E0C"/>
    <w:rsid w:val="00D43F41"/>
    <w:rsid w:val="00D44348"/>
    <w:rsid w:val="00D47C03"/>
    <w:rsid w:val="00D50C33"/>
    <w:rsid w:val="00D51F35"/>
    <w:rsid w:val="00D5270D"/>
    <w:rsid w:val="00D52B2F"/>
    <w:rsid w:val="00D57633"/>
    <w:rsid w:val="00D64D36"/>
    <w:rsid w:val="00D66138"/>
    <w:rsid w:val="00D67E02"/>
    <w:rsid w:val="00D715C2"/>
    <w:rsid w:val="00D726F0"/>
    <w:rsid w:val="00D73620"/>
    <w:rsid w:val="00D742B7"/>
    <w:rsid w:val="00D75447"/>
    <w:rsid w:val="00D8157F"/>
    <w:rsid w:val="00D829D4"/>
    <w:rsid w:val="00D8394C"/>
    <w:rsid w:val="00D86AB2"/>
    <w:rsid w:val="00D86D7C"/>
    <w:rsid w:val="00D91ED6"/>
    <w:rsid w:val="00D93D6D"/>
    <w:rsid w:val="00DA0EC8"/>
    <w:rsid w:val="00DA3084"/>
    <w:rsid w:val="00DA5D15"/>
    <w:rsid w:val="00DA66B9"/>
    <w:rsid w:val="00DA7850"/>
    <w:rsid w:val="00DB1368"/>
    <w:rsid w:val="00DB2D60"/>
    <w:rsid w:val="00DB78D2"/>
    <w:rsid w:val="00DC1151"/>
    <w:rsid w:val="00DC1AAE"/>
    <w:rsid w:val="00DC1EF9"/>
    <w:rsid w:val="00DC2F7B"/>
    <w:rsid w:val="00DC3672"/>
    <w:rsid w:val="00DC6CA4"/>
    <w:rsid w:val="00DC6E2A"/>
    <w:rsid w:val="00DD1836"/>
    <w:rsid w:val="00DD4F39"/>
    <w:rsid w:val="00DE07FF"/>
    <w:rsid w:val="00DE6E39"/>
    <w:rsid w:val="00DE7013"/>
    <w:rsid w:val="00DF0190"/>
    <w:rsid w:val="00DF4BE6"/>
    <w:rsid w:val="00DF65ED"/>
    <w:rsid w:val="00E00FD6"/>
    <w:rsid w:val="00E04883"/>
    <w:rsid w:val="00E06131"/>
    <w:rsid w:val="00E06C63"/>
    <w:rsid w:val="00E0741F"/>
    <w:rsid w:val="00E1273F"/>
    <w:rsid w:val="00E16D6C"/>
    <w:rsid w:val="00E17853"/>
    <w:rsid w:val="00E23EBA"/>
    <w:rsid w:val="00E26D93"/>
    <w:rsid w:val="00E30311"/>
    <w:rsid w:val="00E32A61"/>
    <w:rsid w:val="00E33DB7"/>
    <w:rsid w:val="00E34B8F"/>
    <w:rsid w:val="00E41FC0"/>
    <w:rsid w:val="00E54363"/>
    <w:rsid w:val="00E54FD9"/>
    <w:rsid w:val="00E566C1"/>
    <w:rsid w:val="00E57F8C"/>
    <w:rsid w:val="00E64B05"/>
    <w:rsid w:val="00E674D5"/>
    <w:rsid w:val="00E71DC1"/>
    <w:rsid w:val="00E72336"/>
    <w:rsid w:val="00E72885"/>
    <w:rsid w:val="00E72EA5"/>
    <w:rsid w:val="00E7445E"/>
    <w:rsid w:val="00E756CE"/>
    <w:rsid w:val="00E75C22"/>
    <w:rsid w:val="00E829F8"/>
    <w:rsid w:val="00E8476F"/>
    <w:rsid w:val="00E85007"/>
    <w:rsid w:val="00E918B2"/>
    <w:rsid w:val="00E92380"/>
    <w:rsid w:val="00EA532C"/>
    <w:rsid w:val="00EB3317"/>
    <w:rsid w:val="00EB358D"/>
    <w:rsid w:val="00EB55ED"/>
    <w:rsid w:val="00EB5895"/>
    <w:rsid w:val="00EC0E44"/>
    <w:rsid w:val="00EC5A9C"/>
    <w:rsid w:val="00EC79C7"/>
    <w:rsid w:val="00ED0A53"/>
    <w:rsid w:val="00ED2E62"/>
    <w:rsid w:val="00ED4723"/>
    <w:rsid w:val="00ED4A37"/>
    <w:rsid w:val="00ED5D97"/>
    <w:rsid w:val="00EE1AA2"/>
    <w:rsid w:val="00EE2455"/>
    <w:rsid w:val="00EE6862"/>
    <w:rsid w:val="00EF0D7E"/>
    <w:rsid w:val="00EF1057"/>
    <w:rsid w:val="00EF260A"/>
    <w:rsid w:val="00EF5EA1"/>
    <w:rsid w:val="00F00368"/>
    <w:rsid w:val="00F03EBC"/>
    <w:rsid w:val="00F05040"/>
    <w:rsid w:val="00F05921"/>
    <w:rsid w:val="00F05BF7"/>
    <w:rsid w:val="00F10A54"/>
    <w:rsid w:val="00F1274C"/>
    <w:rsid w:val="00F212A4"/>
    <w:rsid w:val="00F26CB9"/>
    <w:rsid w:val="00F27056"/>
    <w:rsid w:val="00F31E95"/>
    <w:rsid w:val="00F3729D"/>
    <w:rsid w:val="00F407DA"/>
    <w:rsid w:val="00F40BC0"/>
    <w:rsid w:val="00F43C19"/>
    <w:rsid w:val="00F44E45"/>
    <w:rsid w:val="00F456BE"/>
    <w:rsid w:val="00F47B2C"/>
    <w:rsid w:val="00F52294"/>
    <w:rsid w:val="00F52D45"/>
    <w:rsid w:val="00F5490A"/>
    <w:rsid w:val="00F55A80"/>
    <w:rsid w:val="00F63AE1"/>
    <w:rsid w:val="00F64849"/>
    <w:rsid w:val="00F658D4"/>
    <w:rsid w:val="00F663CD"/>
    <w:rsid w:val="00F73AF8"/>
    <w:rsid w:val="00F749CF"/>
    <w:rsid w:val="00F74A63"/>
    <w:rsid w:val="00F765C5"/>
    <w:rsid w:val="00F81237"/>
    <w:rsid w:val="00F843C4"/>
    <w:rsid w:val="00F85FBC"/>
    <w:rsid w:val="00F90337"/>
    <w:rsid w:val="00F90EDE"/>
    <w:rsid w:val="00F91274"/>
    <w:rsid w:val="00F9157F"/>
    <w:rsid w:val="00F92399"/>
    <w:rsid w:val="00F94EAB"/>
    <w:rsid w:val="00F95F0D"/>
    <w:rsid w:val="00FA15B9"/>
    <w:rsid w:val="00FA2A5A"/>
    <w:rsid w:val="00FA2E7A"/>
    <w:rsid w:val="00FA6237"/>
    <w:rsid w:val="00FB18CE"/>
    <w:rsid w:val="00FB21EE"/>
    <w:rsid w:val="00FB430E"/>
    <w:rsid w:val="00FB5CE8"/>
    <w:rsid w:val="00FB6928"/>
    <w:rsid w:val="00FC2D02"/>
    <w:rsid w:val="00FC355D"/>
    <w:rsid w:val="00FC5FC9"/>
    <w:rsid w:val="00FC6455"/>
    <w:rsid w:val="00FC79CF"/>
    <w:rsid w:val="00FC7A45"/>
    <w:rsid w:val="00FD01AD"/>
    <w:rsid w:val="00FD13AA"/>
    <w:rsid w:val="00FD354D"/>
    <w:rsid w:val="00FD4EC7"/>
    <w:rsid w:val="00FE1061"/>
    <w:rsid w:val="00FE2921"/>
    <w:rsid w:val="00FF2941"/>
    <w:rsid w:val="00FF38CB"/>
    <w:rsid w:val="00FF3D8A"/>
    <w:rsid w:val="00FF3E31"/>
    <w:rsid w:val="00FF4435"/>
    <w:rsid w:val="00FF6DD5"/>
    <w:rsid w:val="00FF7C1C"/>
    <w:rsid w:val="28A157E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268C88F1"/>
  <w15:docId w15:val="{41B2FAE4-6F80-4991-BD24-A7A0AE9D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2294"/>
    <w:rPr>
      <w:sz w:val="24"/>
      <w:szCs w:val="24"/>
      <w:lang w:eastAsia="en-US"/>
    </w:rPr>
  </w:style>
  <w:style w:type="paragraph" w:styleId="Heading1">
    <w:name w:val="heading 1"/>
    <w:basedOn w:val="Normal"/>
    <w:next w:val="Normal"/>
    <w:link w:val="Heading1Char"/>
    <w:uiPriority w:val="9"/>
    <w:qFormat/>
    <w:rsid w:val="005E6B70"/>
    <w:pPr>
      <w:keepNext/>
      <w:keepLines/>
      <w:spacing w:before="480" w:line="276" w:lineRule="auto"/>
      <w:outlineLvl w:val="0"/>
    </w:pPr>
    <w:rPr>
      <w:rFonts w:ascii="Cambria" w:hAnsi="Cambria"/>
      <w:b/>
      <w:bCs/>
      <w:color w:val="365F91"/>
      <w:sz w:val="28"/>
      <w:szCs w:val="28"/>
      <w:lang w:eastAsia="en-GB"/>
    </w:rPr>
  </w:style>
  <w:style w:type="paragraph" w:styleId="Heading3">
    <w:name w:val="heading 3"/>
    <w:basedOn w:val="Normal"/>
    <w:next w:val="Normal"/>
    <w:link w:val="Heading3Char"/>
    <w:semiHidden/>
    <w:unhideWhenUsed/>
    <w:qFormat/>
    <w:rsid w:val="00045E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0B5A56"/>
    <w:rPr>
      <w:color w:val="800080"/>
      <w:u w:val="single"/>
    </w:rPr>
  </w:style>
  <w:style w:type="paragraph" w:styleId="NormalWeb">
    <w:name w:val="Normal (Web)"/>
    <w:basedOn w:val="Normal"/>
    <w:uiPriority w:val="99"/>
    <w:rsid w:val="004D560E"/>
    <w:pPr>
      <w:spacing w:before="100" w:beforeAutospacing="1" w:after="100" w:afterAutospacing="1"/>
    </w:pPr>
    <w:rPr>
      <w:rFonts w:ascii="Arial Unicode MS" w:eastAsia="Arial Unicode MS" w:hAnsi="Arial Unicode MS" w:cs="Arial Unicode MS"/>
    </w:rPr>
  </w:style>
  <w:style w:type="character" w:styleId="Hyperlink">
    <w:name w:val="Hyperlink"/>
    <w:rsid w:val="004D560E"/>
    <w:rPr>
      <w:color w:val="0000FF"/>
      <w:u w:val="single"/>
    </w:rPr>
  </w:style>
  <w:style w:type="paragraph" w:styleId="BalloonText">
    <w:name w:val="Balloon Text"/>
    <w:basedOn w:val="Normal"/>
    <w:link w:val="BalloonTextChar"/>
    <w:rsid w:val="004D560E"/>
    <w:rPr>
      <w:rFonts w:ascii="Tahoma" w:hAnsi="Tahoma" w:cs="Tahoma"/>
      <w:sz w:val="16"/>
      <w:szCs w:val="16"/>
    </w:rPr>
  </w:style>
  <w:style w:type="character" w:customStyle="1" w:styleId="BalloonTextChar">
    <w:name w:val="Balloon Text Char"/>
    <w:link w:val="BalloonText"/>
    <w:rsid w:val="004D560E"/>
    <w:rPr>
      <w:rFonts w:ascii="Tahoma" w:hAnsi="Tahoma" w:cs="Tahoma"/>
      <w:sz w:val="16"/>
      <w:szCs w:val="16"/>
      <w:lang w:eastAsia="en-US"/>
    </w:rPr>
  </w:style>
  <w:style w:type="paragraph" w:styleId="Header">
    <w:name w:val="header"/>
    <w:basedOn w:val="Normal"/>
    <w:link w:val="HeaderChar"/>
    <w:rsid w:val="00C724B3"/>
    <w:pPr>
      <w:tabs>
        <w:tab w:val="center" w:pos="4513"/>
        <w:tab w:val="right" w:pos="9026"/>
      </w:tabs>
    </w:pPr>
  </w:style>
  <w:style w:type="character" w:customStyle="1" w:styleId="HeaderChar">
    <w:name w:val="Header Char"/>
    <w:link w:val="Header"/>
    <w:rsid w:val="00C724B3"/>
    <w:rPr>
      <w:sz w:val="24"/>
      <w:szCs w:val="24"/>
      <w:lang w:eastAsia="en-US"/>
    </w:rPr>
  </w:style>
  <w:style w:type="paragraph" w:styleId="Footer">
    <w:name w:val="footer"/>
    <w:basedOn w:val="Normal"/>
    <w:link w:val="FooterChar"/>
    <w:uiPriority w:val="99"/>
    <w:rsid w:val="00C724B3"/>
    <w:pPr>
      <w:tabs>
        <w:tab w:val="center" w:pos="4513"/>
        <w:tab w:val="right" w:pos="9026"/>
      </w:tabs>
    </w:pPr>
  </w:style>
  <w:style w:type="character" w:customStyle="1" w:styleId="FooterChar">
    <w:name w:val="Footer Char"/>
    <w:link w:val="Footer"/>
    <w:uiPriority w:val="99"/>
    <w:rsid w:val="00C724B3"/>
    <w:rPr>
      <w:sz w:val="24"/>
      <w:szCs w:val="24"/>
      <w:lang w:eastAsia="en-US"/>
    </w:rPr>
  </w:style>
  <w:style w:type="paragraph" w:customStyle="1" w:styleId="Counciltextnumbered">
    <w:name w:val="Council text numbered"/>
    <w:basedOn w:val="Normal"/>
    <w:link w:val="CounciltextnumberedChar"/>
    <w:rsid w:val="00045E7E"/>
    <w:pPr>
      <w:numPr>
        <w:ilvl w:val="1"/>
        <w:numId w:val="1"/>
      </w:numPr>
      <w:overflowPunct w:val="0"/>
      <w:autoSpaceDE w:val="0"/>
      <w:autoSpaceDN w:val="0"/>
      <w:adjustRightInd w:val="0"/>
      <w:spacing w:after="120"/>
      <w:textAlignment w:val="baseline"/>
    </w:pPr>
    <w:rPr>
      <w:rFonts w:cs="Arial"/>
    </w:rPr>
  </w:style>
  <w:style w:type="paragraph" w:customStyle="1" w:styleId="CouncilHeading">
    <w:name w:val="Council Heading"/>
    <w:basedOn w:val="Heading3"/>
    <w:next w:val="Counciltextnumbered"/>
    <w:rsid w:val="00045E7E"/>
    <w:pPr>
      <w:keepNext w:val="0"/>
      <w:numPr>
        <w:numId w:val="1"/>
      </w:numPr>
      <w:tabs>
        <w:tab w:val="clear" w:pos="786"/>
        <w:tab w:val="num" w:pos="567"/>
        <w:tab w:val="num" w:pos="1080"/>
      </w:tabs>
      <w:overflowPunct w:val="0"/>
      <w:autoSpaceDE w:val="0"/>
      <w:autoSpaceDN w:val="0"/>
      <w:adjustRightInd w:val="0"/>
      <w:spacing w:before="0" w:after="240"/>
      <w:ind w:left="1080" w:hanging="567"/>
      <w:textAlignment w:val="baseline"/>
    </w:pPr>
    <w:rPr>
      <w:rFonts w:ascii="Arial Bold" w:hAnsi="Arial Bold"/>
      <w:bCs w:val="0"/>
      <w:sz w:val="24"/>
      <w:szCs w:val="24"/>
    </w:rPr>
  </w:style>
  <w:style w:type="character" w:customStyle="1" w:styleId="CounciltextnumberedChar">
    <w:name w:val="Council text numbered Char"/>
    <w:link w:val="Counciltextnumbered"/>
    <w:rsid w:val="00045E7E"/>
    <w:rPr>
      <w:rFonts w:cs="Arial"/>
      <w:sz w:val="24"/>
      <w:szCs w:val="24"/>
      <w:lang w:eastAsia="en-US"/>
    </w:rPr>
  </w:style>
  <w:style w:type="paragraph" w:styleId="FootnoteText">
    <w:name w:val="footnote text"/>
    <w:basedOn w:val="Normal"/>
    <w:link w:val="FootnoteTextChar"/>
    <w:uiPriority w:val="99"/>
    <w:rsid w:val="00045E7E"/>
    <w:pPr>
      <w:overflowPunct w:val="0"/>
      <w:autoSpaceDE w:val="0"/>
      <w:autoSpaceDN w:val="0"/>
      <w:adjustRightInd w:val="0"/>
      <w:jc w:val="both"/>
      <w:textAlignment w:val="baseline"/>
    </w:pPr>
    <w:rPr>
      <w:sz w:val="20"/>
      <w:szCs w:val="20"/>
    </w:rPr>
  </w:style>
  <w:style w:type="character" w:customStyle="1" w:styleId="FootnoteTextChar">
    <w:name w:val="Footnote Text Char"/>
    <w:link w:val="FootnoteText"/>
    <w:uiPriority w:val="99"/>
    <w:rsid w:val="00045E7E"/>
    <w:rPr>
      <w:lang w:eastAsia="en-US"/>
    </w:rPr>
  </w:style>
  <w:style w:type="character" w:styleId="FootnoteReference">
    <w:name w:val="footnote reference"/>
    <w:uiPriority w:val="99"/>
    <w:rsid w:val="00045E7E"/>
    <w:rPr>
      <w:vertAlign w:val="superscript"/>
    </w:rPr>
  </w:style>
  <w:style w:type="character" w:customStyle="1" w:styleId="Heading3Char">
    <w:name w:val="Heading 3 Char"/>
    <w:link w:val="Heading3"/>
    <w:semiHidden/>
    <w:rsid w:val="00045E7E"/>
    <w:rPr>
      <w:rFonts w:ascii="Cambria" w:eastAsia="Times New Roman" w:hAnsi="Cambria" w:cs="Times New Roman"/>
      <w:b/>
      <w:bCs/>
      <w:sz w:val="26"/>
      <w:szCs w:val="26"/>
      <w:lang w:eastAsia="en-US"/>
    </w:rPr>
  </w:style>
  <w:style w:type="paragraph" w:styleId="ListParagraph">
    <w:name w:val="List Paragraph"/>
    <w:aliases w:val="Title 2,List Paragraph1"/>
    <w:basedOn w:val="Normal"/>
    <w:link w:val="ListParagraphChar"/>
    <w:uiPriority w:val="34"/>
    <w:qFormat/>
    <w:rsid w:val="00D726F0"/>
    <w:pPr>
      <w:ind w:left="720"/>
    </w:pPr>
  </w:style>
  <w:style w:type="character" w:customStyle="1" w:styleId="ListParagraphChar">
    <w:name w:val="List Paragraph Char"/>
    <w:aliases w:val="Title 2 Char,List Paragraph1 Char"/>
    <w:link w:val="ListParagraph"/>
    <w:uiPriority w:val="34"/>
    <w:rsid w:val="003752E5"/>
    <w:rPr>
      <w:sz w:val="24"/>
      <w:szCs w:val="24"/>
      <w:lang w:eastAsia="en-US"/>
    </w:rPr>
  </w:style>
  <w:style w:type="paragraph" w:customStyle="1" w:styleId="Default">
    <w:name w:val="Default"/>
    <w:rsid w:val="00E30311"/>
    <w:pPr>
      <w:autoSpaceDE w:val="0"/>
      <w:autoSpaceDN w:val="0"/>
      <w:adjustRightInd w:val="0"/>
    </w:pPr>
    <w:rPr>
      <w:rFonts w:cs="Arial"/>
      <w:color w:val="000000"/>
      <w:sz w:val="24"/>
      <w:szCs w:val="24"/>
    </w:rPr>
  </w:style>
  <w:style w:type="table" w:styleId="TableGrid">
    <w:name w:val="Table Grid"/>
    <w:basedOn w:val="TableNormal"/>
    <w:uiPriority w:val="39"/>
    <w:rsid w:val="00F648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F212A4"/>
    <w:rPr>
      <w:sz w:val="16"/>
      <w:szCs w:val="16"/>
    </w:rPr>
  </w:style>
  <w:style w:type="paragraph" w:styleId="CommentText">
    <w:name w:val="annotation text"/>
    <w:basedOn w:val="Normal"/>
    <w:link w:val="CommentTextChar"/>
    <w:rsid w:val="00F212A4"/>
    <w:rPr>
      <w:sz w:val="20"/>
      <w:szCs w:val="20"/>
    </w:rPr>
  </w:style>
  <w:style w:type="character" w:customStyle="1" w:styleId="CommentTextChar">
    <w:name w:val="Comment Text Char"/>
    <w:link w:val="CommentText"/>
    <w:rsid w:val="00F212A4"/>
    <w:rPr>
      <w:lang w:eastAsia="en-US"/>
    </w:rPr>
  </w:style>
  <w:style w:type="paragraph" w:styleId="CommentSubject">
    <w:name w:val="annotation subject"/>
    <w:basedOn w:val="CommentText"/>
    <w:next w:val="CommentText"/>
    <w:link w:val="CommentSubjectChar"/>
    <w:rsid w:val="00F212A4"/>
    <w:rPr>
      <w:b/>
      <w:bCs/>
    </w:rPr>
  </w:style>
  <w:style w:type="character" w:customStyle="1" w:styleId="CommentSubjectChar">
    <w:name w:val="Comment Subject Char"/>
    <w:link w:val="CommentSubject"/>
    <w:rsid w:val="00F212A4"/>
    <w:rPr>
      <w:b/>
      <w:bCs/>
      <w:lang w:eastAsia="en-US"/>
    </w:rPr>
  </w:style>
  <w:style w:type="paragraph" w:styleId="NoSpacing">
    <w:name w:val="No Spacing"/>
    <w:link w:val="NoSpacingChar"/>
    <w:uiPriority w:val="1"/>
    <w:qFormat/>
    <w:rsid w:val="003F1053"/>
    <w:rPr>
      <w:rFonts w:ascii="Calibri" w:hAnsi="Calibri"/>
      <w:sz w:val="22"/>
      <w:szCs w:val="22"/>
    </w:rPr>
  </w:style>
  <w:style w:type="character" w:customStyle="1" w:styleId="NoSpacingChar">
    <w:name w:val="No Spacing Char"/>
    <w:link w:val="NoSpacing"/>
    <w:uiPriority w:val="1"/>
    <w:rsid w:val="003F1053"/>
    <w:rPr>
      <w:rFonts w:ascii="Calibri" w:hAnsi="Calibri"/>
      <w:sz w:val="22"/>
      <w:szCs w:val="22"/>
    </w:rPr>
  </w:style>
  <w:style w:type="character" w:customStyle="1" w:styleId="Heading1Char">
    <w:name w:val="Heading 1 Char"/>
    <w:link w:val="Heading1"/>
    <w:uiPriority w:val="9"/>
    <w:rsid w:val="005E6B70"/>
    <w:rPr>
      <w:rFonts w:ascii="Cambria" w:hAnsi="Cambria"/>
      <w:b/>
      <w:bCs/>
      <w:color w:val="365F91"/>
      <w:sz w:val="28"/>
      <w:szCs w:val="28"/>
    </w:rPr>
  </w:style>
  <w:style w:type="character" w:styleId="Strong">
    <w:name w:val="Strong"/>
    <w:uiPriority w:val="22"/>
    <w:qFormat/>
    <w:rsid w:val="005E6B70"/>
    <w:rPr>
      <w:b/>
      <w:bCs/>
    </w:rPr>
  </w:style>
  <w:style w:type="paragraph" w:styleId="Revision">
    <w:name w:val="Revision"/>
    <w:hidden/>
    <w:uiPriority w:val="99"/>
    <w:semiHidden/>
    <w:rsid w:val="00FB21E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207465">
      <w:bodyDiv w:val="1"/>
      <w:marLeft w:val="0"/>
      <w:marRight w:val="0"/>
      <w:marTop w:val="0"/>
      <w:marBottom w:val="0"/>
      <w:divBdr>
        <w:top w:val="none" w:sz="0" w:space="0" w:color="auto"/>
        <w:left w:val="none" w:sz="0" w:space="0" w:color="auto"/>
        <w:bottom w:val="none" w:sz="0" w:space="0" w:color="auto"/>
        <w:right w:val="none" w:sz="0" w:space="0" w:color="auto"/>
      </w:divBdr>
    </w:div>
    <w:div w:id="1343822913">
      <w:bodyDiv w:val="1"/>
      <w:marLeft w:val="0"/>
      <w:marRight w:val="0"/>
      <w:marTop w:val="0"/>
      <w:marBottom w:val="0"/>
      <w:divBdr>
        <w:top w:val="none" w:sz="0" w:space="0" w:color="auto"/>
        <w:left w:val="none" w:sz="0" w:space="0" w:color="auto"/>
        <w:bottom w:val="none" w:sz="0" w:space="0" w:color="auto"/>
        <w:right w:val="none" w:sz="0" w:space="0" w:color="auto"/>
      </w:divBdr>
    </w:div>
    <w:div w:id="1581871440">
      <w:bodyDiv w:val="1"/>
      <w:marLeft w:val="0"/>
      <w:marRight w:val="0"/>
      <w:marTop w:val="0"/>
      <w:marBottom w:val="0"/>
      <w:divBdr>
        <w:top w:val="none" w:sz="0" w:space="0" w:color="auto"/>
        <w:left w:val="none" w:sz="0" w:space="0" w:color="auto"/>
        <w:bottom w:val="none" w:sz="0" w:space="0" w:color="auto"/>
        <w:right w:val="none" w:sz="0" w:space="0" w:color="auto"/>
      </w:divBdr>
    </w:div>
    <w:div w:id="20139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831F2D828C0BF4F880245E528736A12" ma:contentTypeVersion="10" ma:contentTypeDescription="Create a new document." ma:contentTypeScope="" ma:versionID="9ed930f82eda2a57ccea2c30c370297d">
  <xsd:schema xmlns:xsd="http://www.w3.org/2001/XMLSchema" xmlns:xs="http://www.w3.org/2001/XMLSchema" xmlns:p="http://schemas.microsoft.com/office/2006/metadata/properties" xmlns:ns2="24466383-f2f9-4485-a5aa-7f788db4c158" xmlns:ns3="060e6607-8ca9-43f5-83fd-4b4e02fb0712" targetNamespace="http://schemas.microsoft.com/office/2006/metadata/properties" ma:root="true" ma:fieldsID="0f3746934596f429c2b63de7898f1c43" ns2:_="" ns3:_="">
    <xsd:import namespace="24466383-f2f9-4485-a5aa-7f788db4c158"/>
    <xsd:import namespace="060e6607-8ca9-43f5-83fd-4b4e02fb07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66383-f2f9-4485-a5aa-7f788db4c1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0e6607-8ca9-43f5-83fd-4b4e02fb071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290365-9F19-4E67-B7FA-41FBF5293CA2}">
  <ds:schemaRefs>
    <ds:schemaRef ds:uri="http://schemas.microsoft.com/office/2006/metadata/properties"/>
  </ds:schemaRefs>
</ds:datastoreItem>
</file>

<file path=customXml/itemProps2.xml><?xml version="1.0" encoding="utf-8"?>
<ds:datastoreItem xmlns:ds="http://schemas.openxmlformats.org/officeDocument/2006/customXml" ds:itemID="{8AFA67D6-7667-4310-90B0-AC57883A00DC}">
  <ds:schemaRefs>
    <ds:schemaRef ds:uri="http://schemas.microsoft.com/sharepoint/v3/contenttype/forms"/>
  </ds:schemaRefs>
</ds:datastoreItem>
</file>

<file path=customXml/itemProps3.xml><?xml version="1.0" encoding="utf-8"?>
<ds:datastoreItem xmlns:ds="http://schemas.openxmlformats.org/officeDocument/2006/customXml" ds:itemID="{EA5C9E08-4297-4733-B73C-04310A250D55}">
  <ds:schemaRefs>
    <ds:schemaRef ds:uri="http://schemas.openxmlformats.org/officeDocument/2006/bibliography"/>
  </ds:schemaRefs>
</ds:datastoreItem>
</file>

<file path=customXml/itemProps4.xml><?xml version="1.0" encoding="utf-8"?>
<ds:datastoreItem xmlns:ds="http://schemas.openxmlformats.org/officeDocument/2006/customXml" ds:itemID="{0E353A9C-170C-42A4-B700-CF4A8BFD6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66383-f2f9-4485-a5aa-7f788db4c158"/>
    <ds:schemaRef ds:uri="060e6607-8ca9-43f5-83fd-4b4e02fb07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2047</Words>
  <Characters>11582</Characters>
  <Application>Microsoft Office Word</Application>
  <DocSecurity>0</DocSecurity>
  <Lines>96</Lines>
  <Paragraphs>27</Paragraphs>
  <ScaleCrop>false</ScaleCrop>
  <Company>HEFCW</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ewen.brierley</dc:creator>
  <cp:keywords/>
  <cp:lastModifiedBy>John Jackson</cp:lastModifiedBy>
  <cp:revision>136</cp:revision>
  <cp:lastPrinted>2020-12-03T04:30:00Z</cp:lastPrinted>
  <dcterms:created xsi:type="dcterms:W3CDTF">2022-06-22T16:50:00Z</dcterms:created>
  <dcterms:modified xsi:type="dcterms:W3CDTF">2022-11-01T16:38:00Z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0x0101000831F2D828C0BF4F880245E528736A12</vt:lpwstr>
  </property>
  <property fmtid="{D5CDD505-2E9C-101B-9397-08002B2CF9AE}" pid="3" name="ComplianceAssetId">
    <vt:lpwstr/>
  </property>
  <property fmtid="{D5CDD505-2E9C-101B-9397-08002B2CF9AE}" pid="4" name="_ExtendedDescription">
    <vt:lpwstr/>
  </property>
</Properties>
</file>