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9E31A" w14:textId="4299B929" w:rsidR="00846F97" w:rsidRPr="001D3B9C" w:rsidRDefault="00846F97" w:rsidP="00864FA9">
      <w:pPr>
        <w:pStyle w:val="NoSpacing"/>
        <w:rPr>
          <w:rFonts w:ascii="Arial" w:hAnsi="Arial" w:cs="Arial"/>
          <w:b/>
          <w:sz w:val="24"/>
          <w:szCs w:val="24"/>
        </w:rPr>
      </w:pPr>
      <w:r w:rsidRPr="001D3B9C">
        <w:rPr>
          <w:rFonts w:ascii="Arial" w:hAnsi="Arial" w:cs="Arial"/>
          <w:b/>
          <w:sz w:val="24"/>
          <w:szCs w:val="24"/>
        </w:rPr>
        <w:t xml:space="preserve">Equality Impact Assessment of </w:t>
      </w:r>
      <w:r w:rsidR="000738EA">
        <w:rPr>
          <w:rFonts w:ascii="Arial" w:hAnsi="Arial" w:cs="Arial"/>
          <w:b/>
          <w:sz w:val="24"/>
          <w:szCs w:val="24"/>
        </w:rPr>
        <w:t>Sustainable Careers and Employability Policy</w:t>
      </w:r>
    </w:p>
    <w:p w14:paraId="7A6A08BA" w14:textId="38BC2CBD" w:rsidR="00CE56D8" w:rsidRPr="00BB06F2" w:rsidRDefault="002A6AD0" w:rsidP="00864FA9">
      <w:pPr>
        <w:pStyle w:val="NoSpacing"/>
        <w:rPr>
          <w:rFonts w:ascii="Arial" w:hAnsi="Arial" w:cs="Arial"/>
          <w:bCs/>
          <w:sz w:val="20"/>
          <w:szCs w:val="20"/>
        </w:rPr>
      </w:pPr>
      <w:r w:rsidRPr="00BB06F2">
        <w:rPr>
          <w:rFonts w:ascii="Arial" w:hAnsi="Arial" w:cs="Arial"/>
          <w:bCs/>
          <w:sz w:val="20"/>
          <w:szCs w:val="20"/>
        </w:rPr>
        <w:t>By</w:t>
      </w:r>
      <w:r w:rsidR="00926AA9" w:rsidRPr="00BB06F2">
        <w:rPr>
          <w:rFonts w:ascii="Arial" w:hAnsi="Arial" w:cs="Arial"/>
          <w:bCs/>
          <w:sz w:val="20"/>
          <w:szCs w:val="20"/>
        </w:rPr>
        <w:t>:</w:t>
      </w:r>
      <w:r w:rsidRPr="00BB06F2">
        <w:rPr>
          <w:rFonts w:ascii="Arial" w:hAnsi="Arial" w:cs="Arial"/>
          <w:bCs/>
          <w:sz w:val="20"/>
          <w:szCs w:val="20"/>
        </w:rPr>
        <w:t xml:space="preserve"> </w:t>
      </w:r>
      <w:r w:rsidR="000738EA">
        <w:rPr>
          <w:rFonts w:ascii="Arial" w:hAnsi="Arial" w:cs="Arial"/>
          <w:bCs/>
          <w:sz w:val="20"/>
          <w:szCs w:val="20"/>
        </w:rPr>
        <w:t>Danielle Barnard</w:t>
      </w:r>
      <w:r w:rsidR="000738EA">
        <w:rPr>
          <w:rFonts w:ascii="Arial" w:hAnsi="Arial" w:cs="Arial"/>
          <w:bCs/>
          <w:sz w:val="20"/>
          <w:szCs w:val="20"/>
        </w:rPr>
        <w:tab/>
      </w:r>
    </w:p>
    <w:p w14:paraId="50DDAED2" w14:textId="7DD6F850" w:rsidR="002A6AD0" w:rsidRPr="00BB06F2" w:rsidRDefault="00CE56D8" w:rsidP="00864FA9">
      <w:pPr>
        <w:pStyle w:val="NoSpacing"/>
        <w:rPr>
          <w:rFonts w:ascii="Arial" w:hAnsi="Arial" w:cs="Arial"/>
          <w:bCs/>
          <w:sz w:val="20"/>
          <w:szCs w:val="20"/>
        </w:rPr>
      </w:pPr>
      <w:r w:rsidRPr="00BB06F2">
        <w:rPr>
          <w:rFonts w:ascii="Arial" w:hAnsi="Arial" w:cs="Arial"/>
          <w:bCs/>
          <w:sz w:val="20"/>
          <w:szCs w:val="20"/>
        </w:rPr>
        <w:t>D</w:t>
      </w:r>
      <w:r w:rsidR="002A6AD0" w:rsidRPr="00BB06F2">
        <w:rPr>
          <w:rFonts w:ascii="Arial" w:hAnsi="Arial" w:cs="Arial"/>
          <w:bCs/>
          <w:sz w:val="20"/>
          <w:szCs w:val="20"/>
        </w:rPr>
        <w:t>ate</w:t>
      </w:r>
      <w:r w:rsidR="00926AA9" w:rsidRPr="00BB06F2">
        <w:rPr>
          <w:rFonts w:ascii="Arial" w:hAnsi="Arial" w:cs="Arial"/>
          <w:bCs/>
          <w:sz w:val="20"/>
          <w:szCs w:val="20"/>
        </w:rPr>
        <w:t>:</w:t>
      </w:r>
      <w:r w:rsidR="000738EA">
        <w:rPr>
          <w:rFonts w:ascii="Arial" w:hAnsi="Arial" w:cs="Arial"/>
          <w:bCs/>
          <w:sz w:val="20"/>
          <w:szCs w:val="20"/>
        </w:rPr>
        <w:t>16/09/2025</w:t>
      </w:r>
    </w:p>
    <w:p w14:paraId="638893D1" w14:textId="77777777" w:rsidR="00CE56D8" w:rsidRPr="001D3B9C" w:rsidRDefault="00CE56D8" w:rsidP="00864FA9">
      <w:pPr>
        <w:pStyle w:val="NoSpacing"/>
        <w:rPr>
          <w:rFonts w:ascii="Arial" w:hAnsi="Arial" w:cs="Arial"/>
          <w:b/>
        </w:rPr>
      </w:pPr>
    </w:p>
    <w:tbl>
      <w:tblPr>
        <w:tblStyle w:val="TableGrid"/>
        <w:tblW w:w="0" w:type="auto"/>
        <w:tblInd w:w="0" w:type="dxa"/>
        <w:tblLook w:val="04A0" w:firstRow="1" w:lastRow="0" w:firstColumn="1" w:lastColumn="0" w:noHBand="0" w:noVBand="1"/>
      </w:tblPr>
      <w:tblGrid>
        <w:gridCol w:w="13948"/>
      </w:tblGrid>
      <w:tr w:rsidR="00CC0D69" w:rsidRPr="001D3B9C" w14:paraId="310F52BB" w14:textId="77777777" w:rsidTr="00035874">
        <w:tc>
          <w:tcPr>
            <w:tcW w:w="13948" w:type="dxa"/>
            <w:shd w:val="clear" w:color="auto" w:fill="BDD6EE" w:themeFill="accent1" w:themeFillTint="66"/>
          </w:tcPr>
          <w:p w14:paraId="099B977D" w14:textId="77777777" w:rsidR="00CC0D69" w:rsidRPr="001D3B9C" w:rsidRDefault="00CC0D69" w:rsidP="00035874">
            <w:pPr>
              <w:pStyle w:val="NoSpacing"/>
              <w:jc w:val="both"/>
              <w:rPr>
                <w:rFonts w:ascii="Arial" w:hAnsi="Arial" w:cs="Arial"/>
                <w:b/>
              </w:rPr>
            </w:pPr>
            <w:r w:rsidRPr="001D3B9C">
              <w:rPr>
                <w:rFonts w:ascii="Arial" w:hAnsi="Arial" w:cs="Arial"/>
                <w:b/>
              </w:rPr>
              <w:t>Project Aim</w:t>
            </w:r>
          </w:p>
        </w:tc>
      </w:tr>
      <w:tr w:rsidR="00CC0D69" w:rsidRPr="001D3B9C" w14:paraId="0833F635" w14:textId="77777777" w:rsidTr="00035874">
        <w:tc>
          <w:tcPr>
            <w:tcW w:w="13948" w:type="dxa"/>
            <w:shd w:val="clear" w:color="auto" w:fill="DEEAF6" w:themeFill="accent1" w:themeFillTint="33"/>
          </w:tcPr>
          <w:p w14:paraId="33E58BE1" w14:textId="200FEA80" w:rsidR="00CC0D69" w:rsidRPr="001D3B9C" w:rsidRDefault="00CC0D69" w:rsidP="00035874">
            <w:pPr>
              <w:pStyle w:val="NoSpacing"/>
              <w:jc w:val="both"/>
              <w:rPr>
                <w:rFonts w:ascii="Arial" w:hAnsi="Arial" w:cs="Arial"/>
                <w:i/>
                <w:sz w:val="20"/>
              </w:rPr>
            </w:pPr>
            <w:r w:rsidRPr="001D3B9C">
              <w:rPr>
                <w:rFonts w:ascii="Arial" w:hAnsi="Arial" w:cs="Arial"/>
                <w:i/>
                <w:sz w:val="20"/>
              </w:rPr>
              <w:t>What does the project aim to achieve? (Please note the financial and / or non-financial outcomes and benefits)</w:t>
            </w:r>
            <w:r w:rsidR="000300E9" w:rsidRPr="001D3B9C">
              <w:rPr>
                <w:rFonts w:ascii="Arial" w:hAnsi="Arial" w:cs="Arial"/>
                <w:i/>
                <w:sz w:val="20"/>
              </w:rPr>
              <w:t>.</w:t>
            </w:r>
          </w:p>
        </w:tc>
      </w:tr>
      <w:tr w:rsidR="00CC0D69" w:rsidRPr="001D3B9C" w14:paraId="588D3B90" w14:textId="77777777" w:rsidTr="00035874">
        <w:tc>
          <w:tcPr>
            <w:tcW w:w="13948" w:type="dxa"/>
          </w:tcPr>
          <w:p w14:paraId="2AE3046E" w14:textId="757F707B" w:rsidR="000738EA" w:rsidRPr="006051F8" w:rsidRDefault="000738EA" w:rsidP="000738EA">
            <w:pPr>
              <w:rPr>
                <w:rFonts w:ascii="Arial" w:hAnsi="Arial" w:cs="Arial"/>
              </w:rPr>
            </w:pPr>
            <w:r w:rsidRPr="006051F8">
              <w:rPr>
                <w:rFonts w:ascii="Arial" w:hAnsi="Arial" w:cs="Arial"/>
              </w:rPr>
              <w:t xml:space="preserve">The university will encourage and support students and graduates to investigate whether future employers match their own values. Culture &amp; values are personal, and impartiality is key. In this context, sustainability is not just about environmental impact, it also means ensuring social responsibility, economic resilience, personal wellbeing, and lifelong adaptability. Sustainable careers are those which are built to last and allow individuals to thrive while contributing positively to society and the planet. </w:t>
            </w:r>
          </w:p>
          <w:p w14:paraId="048D74BC" w14:textId="77777777" w:rsidR="000738EA" w:rsidRPr="006051F8" w:rsidRDefault="000738EA" w:rsidP="000738EA">
            <w:pPr>
              <w:rPr>
                <w:rFonts w:ascii="Arial" w:hAnsi="Arial" w:cs="Arial"/>
              </w:rPr>
            </w:pPr>
          </w:p>
          <w:p w14:paraId="622DA861" w14:textId="77777777" w:rsidR="000738EA" w:rsidRPr="006051F8" w:rsidRDefault="000738EA" w:rsidP="000738EA">
            <w:pPr>
              <w:rPr>
                <w:rFonts w:ascii="Arial" w:hAnsi="Arial" w:cs="Arial"/>
              </w:rPr>
            </w:pPr>
            <w:r w:rsidRPr="006051F8">
              <w:rPr>
                <w:rFonts w:ascii="Arial" w:hAnsi="Arial" w:cs="Arial"/>
              </w:rPr>
              <w:t xml:space="preserve">Our 10 Sustainable Careers and Employability Principles presented in this policy reflect this wider understanding. They align with the Welsh Government’s Well-being of Future Generations Act and the UN’s Sustainable Development Goals - frameworks that encourage long-term thinking and systemic change. We help our students and graduates to critically assess the values of potential employers, reflect on their own positioning, and navigate complex choices with impartial and inclusive support in terms of their future careers. </w:t>
            </w:r>
          </w:p>
          <w:p w14:paraId="4C78FCF6" w14:textId="1AAED54B" w:rsidR="00867D1D" w:rsidRPr="001D3B9C" w:rsidRDefault="00867D1D" w:rsidP="00DC79A3">
            <w:pPr>
              <w:pStyle w:val="NoSpacing"/>
              <w:jc w:val="both"/>
              <w:rPr>
                <w:rFonts w:ascii="Arial" w:hAnsi="Arial" w:cs="Arial"/>
                <w:b/>
              </w:rPr>
            </w:pPr>
          </w:p>
        </w:tc>
      </w:tr>
    </w:tbl>
    <w:p w14:paraId="3D32E71E" w14:textId="77777777" w:rsidR="00CC0D69" w:rsidRPr="001D3B9C" w:rsidRDefault="00CC0D69" w:rsidP="00864FA9">
      <w:pPr>
        <w:pStyle w:val="NoSpacing"/>
        <w:rPr>
          <w:rFonts w:ascii="Arial" w:hAnsi="Arial" w:cs="Arial"/>
          <w:b/>
        </w:rPr>
      </w:pPr>
    </w:p>
    <w:tbl>
      <w:tblPr>
        <w:tblStyle w:val="TableGrid1"/>
        <w:tblW w:w="0" w:type="auto"/>
        <w:tblLook w:val="04A0" w:firstRow="1" w:lastRow="0" w:firstColumn="1" w:lastColumn="0" w:noHBand="0" w:noVBand="1"/>
      </w:tblPr>
      <w:tblGrid>
        <w:gridCol w:w="2689"/>
        <w:gridCol w:w="11259"/>
      </w:tblGrid>
      <w:tr w:rsidR="00CE56D8" w:rsidRPr="001D3B9C" w14:paraId="16BCB055" w14:textId="77777777" w:rsidTr="00035874">
        <w:tc>
          <w:tcPr>
            <w:tcW w:w="2689" w:type="dxa"/>
            <w:shd w:val="clear" w:color="auto" w:fill="BDD6EE" w:themeFill="accent1" w:themeFillTint="66"/>
          </w:tcPr>
          <w:p w14:paraId="64D941A3" w14:textId="77777777" w:rsidR="00CE56D8" w:rsidRPr="001D3B9C" w:rsidRDefault="00CE56D8" w:rsidP="00CE56D8">
            <w:pPr>
              <w:jc w:val="both"/>
              <w:rPr>
                <w:rFonts w:ascii="Arial" w:hAnsi="Arial" w:cs="Arial"/>
                <w:b/>
              </w:rPr>
            </w:pPr>
            <w:r w:rsidRPr="001D3B9C">
              <w:rPr>
                <w:rFonts w:ascii="Arial" w:hAnsi="Arial" w:cs="Arial"/>
                <w:b/>
              </w:rPr>
              <w:t>Project Title</w:t>
            </w:r>
          </w:p>
        </w:tc>
        <w:tc>
          <w:tcPr>
            <w:tcW w:w="11259" w:type="dxa"/>
          </w:tcPr>
          <w:p w14:paraId="7DB7FEF3" w14:textId="0C82A47C" w:rsidR="00CE56D8" w:rsidRPr="001D3B9C" w:rsidRDefault="000738EA" w:rsidP="00CE56D8">
            <w:pPr>
              <w:jc w:val="both"/>
              <w:rPr>
                <w:rFonts w:ascii="Arial" w:hAnsi="Arial" w:cs="Arial"/>
              </w:rPr>
            </w:pPr>
            <w:r>
              <w:rPr>
                <w:rFonts w:ascii="Arial" w:hAnsi="Arial" w:cs="Arial"/>
              </w:rPr>
              <w:t>Sustainable Careers and Employability Policy</w:t>
            </w:r>
          </w:p>
        </w:tc>
      </w:tr>
      <w:tr w:rsidR="00CE56D8" w:rsidRPr="001D3B9C" w14:paraId="52CB8F7D" w14:textId="77777777" w:rsidTr="00035874">
        <w:tc>
          <w:tcPr>
            <w:tcW w:w="2689" w:type="dxa"/>
            <w:shd w:val="clear" w:color="auto" w:fill="BDD6EE" w:themeFill="accent1" w:themeFillTint="66"/>
          </w:tcPr>
          <w:p w14:paraId="5FC570B0" w14:textId="77777777" w:rsidR="00CE56D8" w:rsidRPr="001D3B9C" w:rsidRDefault="00CE56D8" w:rsidP="00CE56D8">
            <w:pPr>
              <w:jc w:val="both"/>
              <w:rPr>
                <w:rFonts w:ascii="Arial" w:hAnsi="Arial" w:cs="Arial"/>
                <w:b/>
              </w:rPr>
            </w:pPr>
            <w:r w:rsidRPr="001D3B9C">
              <w:rPr>
                <w:rFonts w:ascii="Arial" w:hAnsi="Arial" w:cs="Arial"/>
                <w:b/>
              </w:rPr>
              <w:t>Project Lead</w:t>
            </w:r>
          </w:p>
        </w:tc>
        <w:tc>
          <w:tcPr>
            <w:tcW w:w="11259" w:type="dxa"/>
          </w:tcPr>
          <w:p w14:paraId="3480F88A" w14:textId="29E29EA8" w:rsidR="00CE56D8" w:rsidRPr="001D3B9C" w:rsidRDefault="00F416DB" w:rsidP="00CE56D8">
            <w:pPr>
              <w:jc w:val="both"/>
              <w:rPr>
                <w:rFonts w:ascii="Arial" w:hAnsi="Arial" w:cs="Arial"/>
              </w:rPr>
            </w:pPr>
            <w:r>
              <w:rPr>
                <w:rFonts w:ascii="Arial" w:hAnsi="Arial" w:cs="Arial"/>
              </w:rPr>
              <w:t>PVC Education and Student Experience (Executive Lead) Head of Student Success</w:t>
            </w:r>
          </w:p>
        </w:tc>
      </w:tr>
      <w:tr w:rsidR="00CE56D8" w:rsidRPr="001D3B9C" w14:paraId="39C7F6DB" w14:textId="77777777" w:rsidTr="00035874">
        <w:tc>
          <w:tcPr>
            <w:tcW w:w="2689" w:type="dxa"/>
            <w:shd w:val="clear" w:color="auto" w:fill="BDD6EE" w:themeFill="accent1" w:themeFillTint="66"/>
          </w:tcPr>
          <w:p w14:paraId="664C8194" w14:textId="77777777" w:rsidR="00CE56D8" w:rsidRPr="001D3B9C" w:rsidRDefault="00CE56D8" w:rsidP="00CE56D8">
            <w:pPr>
              <w:jc w:val="both"/>
              <w:rPr>
                <w:rFonts w:ascii="Arial" w:hAnsi="Arial" w:cs="Arial"/>
                <w:b/>
              </w:rPr>
            </w:pPr>
            <w:r w:rsidRPr="001D3B9C">
              <w:rPr>
                <w:rFonts w:ascii="Arial" w:hAnsi="Arial" w:cs="Arial"/>
                <w:b/>
              </w:rPr>
              <w:t>Project Team</w:t>
            </w:r>
          </w:p>
        </w:tc>
        <w:tc>
          <w:tcPr>
            <w:tcW w:w="11259" w:type="dxa"/>
          </w:tcPr>
          <w:p w14:paraId="2013FC6F" w14:textId="3B3E82AE" w:rsidR="00CE56D8" w:rsidRPr="001D3B9C" w:rsidRDefault="00206500" w:rsidP="001C284D">
            <w:pPr>
              <w:jc w:val="both"/>
              <w:rPr>
                <w:rFonts w:ascii="Arial" w:hAnsi="Arial" w:cs="Arial"/>
              </w:rPr>
            </w:pPr>
            <w:r>
              <w:rPr>
                <w:rFonts w:ascii="Arial" w:hAnsi="Arial" w:cs="Arial"/>
              </w:rPr>
              <w:t>Student Success: Careers and Employability, Chair of Sustainability Committee</w:t>
            </w:r>
          </w:p>
        </w:tc>
      </w:tr>
    </w:tbl>
    <w:p w14:paraId="475602CE" w14:textId="77777777" w:rsidR="00CC0D69" w:rsidRPr="001D3B9C" w:rsidRDefault="00CC0D69" w:rsidP="00864FA9">
      <w:pPr>
        <w:pStyle w:val="NoSpacing"/>
        <w:rPr>
          <w:rFonts w:ascii="Arial" w:hAnsi="Arial" w:cs="Arial"/>
          <w:b/>
        </w:rPr>
      </w:pPr>
    </w:p>
    <w:tbl>
      <w:tblPr>
        <w:tblStyle w:val="TableGrid"/>
        <w:tblW w:w="13973" w:type="dxa"/>
        <w:tblInd w:w="0" w:type="dxa"/>
        <w:tblLook w:val="04A0" w:firstRow="1" w:lastRow="0" w:firstColumn="1" w:lastColumn="0" w:noHBand="0" w:noVBand="1"/>
      </w:tblPr>
      <w:tblGrid>
        <w:gridCol w:w="13973"/>
      </w:tblGrid>
      <w:tr w:rsidR="00B95925" w:rsidRPr="001D3B9C" w14:paraId="7637D594" w14:textId="77777777" w:rsidTr="00B95925">
        <w:tc>
          <w:tcPr>
            <w:tcW w:w="1397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B66B1B" w14:textId="77777777" w:rsidR="00B95925" w:rsidRPr="001D3B9C" w:rsidRDefault="00B95925">
            <w:pPr>
              <w:pStyle w:val="NoSpacing"/>
              <w:jc w:val="both"/>
              <w:rPr>
                <w:rFonts w:ascii="Arial" w:hAnsi="Arial" w:cs="Arial"/>
                <w:b/>
              </w:rPr>
            </w:pPr>
            <w:r w:rsidRPr="001D3B9C">
              <w:rPr>
                <w:rFonts w:ascii="Arial" w:hAnsi="Arial" w:cs="Arial"/>
                <w:b/>
              </w:rPr>
              <w:t>What impact does the project</w:t>
            </w:r>
            <w:r w:rsidR="00662697" w:rsidRPr="001D3B9C">
              <w:rPr>
                <w:rFonts w:ascii="Arial" w:hAnsi="Arial" w:cs="Arial"/>
                <w:b/>
              </w:rPr>
              <w:t xml:space="preserve">, policy or practice </w:t>
            </w:r>
            <w:r w:rsidRPr="001D3B9C">
              <w:rPr>
                <w:rFonts w:ascii="Arial" w:hAnsi="Arial" w:cs="Arial"/>
                <w:b/>
              </w:rPr>
              <w:t>have on people that share a protected characteristic?</w:t>
            </w:r>
          </w:p>
        </w:tc>
      </w:tr>
      <w:tr w:rsidR="00B95925" w:rsidRPr="001D3B9C" w14:paraId="23CFFC80" w14:textId="77777777" w:rsidTr="0086227C">
        <w:tc>
          <w:tcPr>
            <w:tcW w:w="1397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84C0943" w14:textId="77777777" w:rsidR="00B95925" w:rsidRDefault="00B95925" w:rsidP="006666BC">
            <w:pPr>
              <w:pStyle w:val="NoSpacing"/>
              <w:jc w:val="both"/>
              <w:rPr>
                <w:rFonts w:ascii="Arial" w:hAnsi="Arial" w:cs="Arial"/>
                <w:i/>
              </w:rPr>
            </w:pPr>
            <w:r w:rsidRPr="001D3B9C">
              <w:rPr>
                <w:rFonts w:ascii="Arial" w:hAnsi="Arial" w:cs="Arial"/>
                <w:i/>
              </w:rPr>
              <w:t xml:space="preserve">Under the </w:t>
            </w:r>
            <w:r w:rsidR="00867D1D" w:rsidRPr="001D3B9C">
              <w:rPr>
                <w:rFonts w:ascii="Arial" w:hAnsi="Arial" w:cs="Arial"/>
                <w:i/>
              </w:rPr>
              <w:t xml:space="preserve">general Public Sector Equality Duty (PSED) </w:t>
            </w:r>
            <w:r w:rsidRPr="001D3B9C">
              <w:rPr>
                <w:rFonts w:ascii="Arial" w:hAnsi="Arial" w:cs="Arial"/>
                <w:i/>
              </w:rPr>
              <w:t>set out in the Equality Act 201</w:t>
            </w:r>
            <w:r w:rsidR="00EE7E49">
              <w:rPr>
                <w:rFonts w:ascii="Arial" w:hAnsi="Arial" w:cs="Arial"/>
                <w:i/>
              </w:rPr>
              <w:t>0</w:t>
            </w:r>
            <w:r w:rsidRPr="001D3B9C">
              <w:rPr>
                <w:rFonts w:ascii="Arial" w:hAnsi="Arial" w:cs="Arial"/>
                <w:i/>
              </w:rPr>
              <w:t xml:space="preserve">, the University must </w:t>
            </w:r>
            <w:r w:rsidR="00867D1D" w:rsidRPr="001D3B9C">
              <w:rPr>
                <w:rFonts w:ascii="Arial" w:hAnsi="Arial" w:cs="Arial"/>
                <w:i/>
              </w:rPr>
              <w:t>give</w:t>
            </w:r>
            <w:r w:rsidRPr="001D3B9C">
              <w:rPr>
                <w:rFonts w:ascii="Arial" w:hAnsi="Arial" w:cs="Arial"/>
                <w:i/>
              </w:rPr>
              <w:t xml:space="preserve"> ‘due regard’ to the need to eliminate unlawful discrimination, harassment and victimisation as well as to advance equality of opportunity and foster good relations between people who share a protected characteristic and those who do not.  The protected characteristics covered by the equality duty </w:t>
            </w:r>
            <w:proofErr w:type="gramStart"/>
            <w:r w:rsidRPr="001D3B9C">
              <w:rPr>
                <w:rFonts w:ascii="Arial" w:hAnsi="Arial" w:cs="Arial"/>
                <w:i/>
              </w:rPr>
              <w:t>are:</w:t>
            </w:r>
            <w:proofErr w:type="gramEnd"/>
            <w:r w:rsidRPr="001D3B9C">
              <w:rPr>
                <w:rFonts w:ascii="Arial" w:hAnsi="Arial" w:cs="Arial"/>
                <w:i/>
              </w:rPr>
              <w:t xml:space="preserve"> </w:t>
            </w:r>
            <w:r w:rsidRPr="001D3B9C">
              <w:rPr>
                <w:rFonts w:ascii="Arial" w:hAnsi="Arial" w:cs="Arial"/>
                <w:b/>
                <w:i/>
              </w:rPr>
              <w:t>age, disability, gender reassignment</w:t>
            </w:r>
            <w:r w:rsidR="00626DF3">
              <w:rPr>
                <w:rFonts w:ascii="Arial" w:hAnsi="Arial" w:cs="Arial"/>
                <w:b/>
                <w:i/>
              </w:rPr>
              <w:t xml:space="preserve"> (Trans)</w:t>
            </w:r>
            <w:r w:rsidRPr="001D3B9C">
              <w:rPr>
                <w:rFonts w:ascii="Arial" w:hAnsi="Arial" w:cs="Arial"/>
                <w:b/>
                <w:i/>
              </w:rPr>
              <w:t>, pregnancy and maternity, race</w:t>
            </w:r>
            <w:r w:rsidR="00626DF3">
              <w:rPr>
                <w:rFonts w:ascii="Arial" w:hAnsi="Arial" w:cs="Arial"/>
                <w:b/>
                <w:i/>
              </w:rPr>
              <w:t xml:space="preserve"> (ethnicity)</w:t>
            </w:r>
            <w:r w:rsidRPr="001D3B9C">
              <w:rPr>
                <w:rFonts w:ascii="Arial" w:hAnsi="Arial" w:cs="Arial"/>
                <w:b/>
                <w:i/>
              </w:rPr>
              <w:t xml:space="preserve">, religion or belief, sex </w:t>
            </w:r>
            <w:r w:rsidR="00626DF3">
              <w:rPr>
                <w:rFonts w:ascii="Arial" w:hAnsi="Arial" w:cs="Arial"/>
                <w:b/>
                <w:i/>
              </w:rPr>
              <w:t xml:space="preserve">(gender) </w:t>
            </w:r>
            <w:r w:rsidRPr="001D3B9C">
              <w:rPr>
                <w:rFonts w:ascii="Arial" w:hAnsi="Arial" w:cs="Arial"/>
                <w:i/>
              </w:rPr>
              <w:t>and</w:t>
            </w:r>
            <w:r w:rsidRPr="001D3B9C">
              <w:rPr>
                <w:rFonts w:ascii="Arial" w:hAnsi="Arial" w:cs="Arial"/>
                <w:b/>
                <w:i/>
              </w:rPr>
              <w:t xml:space="preserve"> sexual orientation</w:t>
            </w:r>
            <w:r w:rsidR="006C74C0">
              <w:rPr>
                <w:rFonts w:ascii="Arial" w:hAnsi="Arial" w:cs="Arial"/>
                <w:b/>
                <w:i/>
              </w:rPr>
              <w:t xml:space="preserve"> </w:t>
            </w:r>
            <w:r w:rsidR="006C74C0" w:rsidRPr="006C74C0">
              <w:rPr>
                <w:rFonts w:ascii="Arial" w:hAnsi="Arial" w:cs="Arial"/>
                <w:bCs/>
                <w:i/>
              </w:rPr>
              <w:t xml:space="preserve">and the duty also </w:t>
            </w:r>
            <w:proofErr w:type="gramStart"/>
            <w:r w:rsidR="006C74C0" w:rsidRPr="006C74C0">
              <w:rPr>
                <w:rFonts w:ascii="Arial" w:hAnsi="Arial" w:cs="Arial"/>
                <w:bCs/>
                <w:i/>
              </w:rPr>
              <w:t>applies</w:t>
            </w:r>
            <w:proofErr w:type="gramEnd"/>
            <w:r w:rsidR="006C74C0" w:rsidRPr="006C74C0">
              <w:rPr>
                <w:rFonts w:ascii="Arial" w:hAnsi="Arial" w:cs="Arial"/>
                <w:bCs/>
                <w:i/>
              </w:rPr>
              <w:t xml:space="preserve"> to carers</w:t>
            </w:r>
            <w:r w:rsidR="006C74C0">
              <w:rPr>
                <w:rFonts w:ascii="Arial" w:hAnsi="Arial" w:cs="Arial"/>
                <w:b/>
                <w:i/>
              </w:rPr>
              <w:t>.</w:t>
            </w:r>
            <w:r w:rsidRPr="001D3B9C">
              <w:rPr>
                <w:rFonts w:ascii="Arial" w:hAnsi="Arial" w:cs="Arial"/>
                <w:i/>
              </w:rPr>
              <w:t xml:space="preserve"> The law requires that the University demonstrates it has </w:t>
            </w:r>
            <w:r w:rsidR="00225C1A" w:rsidRPr="001D3B9C">
              <w:rPr>
                <w:rFonts w:ascii="Arial" w:hAnsi="Arial" w:cs="Arial"/>
                <w:i/>
              </w:rPr>
              <w:t>given</w:t>
            </w:r>
            <w:r w:rsidRPr="001D3B9C">
              <w:rPr>
                <w:rFonts w:ascii="Arial" w:hAnsi="Arial" w:cs="Arial"/>
                <w:i/>
              </w:rPr>
              <w:t xml:space="preserve"> ‘due regard’ to the aims of the equality duty in its planning and decision-making processes.  </w:t>
            </w:r>
          </w:p>
          <w:p w14:paraId="570988BF" w14:textId="065C26E0" w:rsidR="00DF584F" w:rsidRPr="001D3B9C" w:rsidRDefault="00DF584F" w:rsidP="006666BC">
            <w:pPr>
              <w:pStyle w:val="NoSpacing"/>
              <w:jc w:val="both"/>
              <w:rPr>
                <w:rFonts w:ascii="Arial" w:hAnsi="Arial" w:cs="Arial"/>
                <w:i/>
              </w:rPr>
            </w:pPr>
          </w:p>
        </w:tc>
      </w:tr>
    </w:tbl>
    <w:p w14:paraId="7D1690AA" w14:textId="77777777" w:rsidR="00B95925" w:rsidRPr="001D3B9C" w:rsidRDefault="00B95925" w:rsidP="00B95925">
      <w:pPr>
        <w:pStyle w:val="NoSpacing"/>
        <w:jc w:val="both"/>
        <w:rPr>
          <w:rFonts w:ascii="Arial" w:hAnsi="Arial" w:cs="Arial"/>
        </w:rPr>
      </w:pPr>
    </w:p>
    <w:tbl>
      <w:tblPr>
        <w:tblStyle w:val="TableGrid"/>
        <w:tblW w:w="13980" w:type="dxa"/>
        <w:tblInd w:w="0" w:type="dxa"/>
        <w:tblLayout w:type="fixed"/>
        <w:tblLook w:val="04A0" w:firstRow="1" w:lastRow="0" w:firstColumn="1" w:lastColumn="0" w:noHBand="0" w:noVBand="1"/>
      </w:tblPr>
      <w:tblGrid>
        <w:gridCol w:w="4660"/>
        <w:gridCol w:w="2330"/>
        <w:gridCol w:w="2330"/>
        <w:gridCol w:w="4660"/>
      </w:tblGrid>
      <w:tr w:rsidR="00B95925" w:rsidRPr="001D3B9C" w14:paraId="5D4F9B89" w14:textId="77777777" w:rsidTr="001756C0">
        <w:tc>
          <w:tcPr>
            <w:tcW w:w="46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B8C59D" w14:textId="77777777" w:rsidR="00B95925" w:rsidRPr="001D3B9C" w:rsidRDefault="00B95925">
            <w:pPr>
              <w:pStyle w:val="NoSpacing"/>
              <w:jc w:val="both"/>
              <w:rPr>
                <w:rFonts w:ascii="Arial" w:hAnsi="Arial" w:cs="Arial"/>
                <w:b/>
              </w:rPr>
            </w:pPr>
            <w:r w:rsidRPr="001D3B9C">
              <w:rPr>
                <w:rFonts w:ascii="Arial" w:hAnsi="Arial" w:cs="Arial"/>
                <w:b/>
              </w:rPr>
              <w:t>Public Sector Equality Duty Requirements</w:t>
            </w:r>
          </w:p>
        </w:tc>
        <w:tc>
          <w:tcPr>
            <w:tcW w:w="466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81FB9D" w14:textId="791270C2" w:rsidR="00B95925" w:rsidRPr="001D3B9C" w:rsidRDefault="00F41A7D">
            <w:pPr>
              <w:pStyle w:val="NoSpacing"/>
              <w:jc w:val="both"/>
              <w:rPr>
                <w:rFonts w:ascii="Arial" w:hAnsi="Arial" w:cs="Arial"/>
                <w:b/>
              </w:rPr>
            </w:pPr>
            <w:r w:rsidRPr="001D3B9C">
              <w:rPr>
                <w:rFonts w:ascii="Arial" w:hAnsi="Arial" w:cs="Arial"/>
                <w:b/>
              </w:rPr>
              <w:t>Evidence</w:t>
            </w:r>
          </w:p>
        </w:tc>
        <w:tc>
          <w:tcPr>
            <w:tcW w:w="46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9E9F3D" w14:textId="6865EAF8" w:rsidR="00B95925" w:rsidRPr="001D3B9C" w:rsidRDefault="00F41A7D">
            <w:pPr>
              <w:pStyle w:val="NoSpacing"/>
              <w:jc w:val="both"/>
              <w:rPr>
                <w:rFonts w:ascii="Arial" w:hAnsi="Arial" w:cs="Arial"/>
                <w:b/>
              </w:rPr>
            </w:pPr>
            <w:r w:rsidRPr="001D3B9C">
              <w:rPr>
                <w:rFonts w:ascii="Arial" w:hAnsi="Arial" w:cs="Arial"/>
                <w:b/>
              </w:rPr>
              <w:t>Detail of Impact (Positive/Neutral/Negative)</w:t>
            </w:r>
          </w:p>
        </w:tc>
      </w:tr>
      <w:tr w:rsidR="00B95925" w:rsidRPr="001D3B9C" w14:paraId="036C44DC" w14:textId="77777777" w:rsidTr="001756C0">
        <w:tc>
          <w:tcPr>
            <w:tcW w:w="466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0EAF56" w14:textId="77777777" w:rsidR="00B95925" w:rsidRPr="001D3B9C" w:rsidRDefault="00B95925">
            <w:pPr>
              <w:pStyle w:val="NoSpacing"/>
              <w:jc w:val="both"/>
              <w:rPr>
                <w:rFonts w:ascii="Arial" w:hAnsi="Arial" w:cs="Arial"/>
                <w:b/>
              </w:rPr>
            </w:pPr>
            <w:r w:rsidRPr="001D3B9C">
              <w:rPr>
                <w:rFonts w:ascii="Arial" w:hAnsi="Arial" w:cs="Arial"/>
                <w:b/>
              </w:rPr>
              <w:t>Eliminating Discrimination</w:t>
            </w:r>
          </w:p>
          <w:p w14:paraId="1869448C" w14:textId="77777777" w:rsidR="00B95925" w:rsidRPr="001D3B9C" w:rsidRDefault="00B95925">
            <w:pPr>
              <w:pStyle w:val="NoSpacing"/>
              <w:jc w:val="both"/>
              <w:rPr>
                <w:rFonts w:ascii="Arial" w:hAnsi="Arial" w:cs="Arial"/>
                <w:b/>
              </w:rPr>
            </w:pPr>
          </w:p>
          <w:p w14:paraId="19775B38" w14:textId="77777777" w:rsidR="00B95925" w:rsidRPr="001D3B9C" w:rsidRDefault="00B95925" w:rsidP="00831F18">
            <w:pPr>
              <w:pStyle w:val="NoSpacing"/>
              <w:numPr>
                <w:ilvl w:val="0"/>
                <w:numId w:val="1"/>
              </w:numPr>
              <w:jc w:val="both"/>
              <w:rPr>
                <w:rFonts w:ascii="Arial" w:hAnsi="Arial" w:cs="Arial"/>
                <w:i/>
              </w:rPr>
            </w:pPr>
            <w:r w:rsidRPr="001D3B9C">
              <w:rPr>
                <w:rFonts w:ascii="Arial" w:hAnsi="Arial" w:cs="Arial"/>
                <w:i/>
              </w:rPr>
              <w:t>Is the project</w:t>
            </w:r>
            <w:r w:rsidR="001E15FD" w:rsidRPr="001D3B9C">
              <w:rPr>
                <w:rFonts w:ascii="Arial" w:hAnsi="Arial" w:cs="Arial"/>
                <w:i/>
              </w:rPr>
              <w:t>, policy or practice</w:t>
            </w:r>
            <w:r w:rsidRPr="001D3B9C">
              <w:rPr>
                <w:rFonts w:ascii="Arial" w:hAnsi="Arial" w:cs="Arial"/>
                <w:i/>
              </w:rPr>
              <w:t xml:space="preserve"> likely to treat anyone less favourably or </w:t>
            </w:r>
            <w:r w:rsidRPr="001D3B9C">
              <w:rPr>
                <w:rFonts w:ascii="Arial" w:hAnsi="Arial" w:cs="Arial"/>
                <w:i/>
              </w:rPr>
              <w:lastRenderedPageBreak/>
              <w:t>disadvantage them because of their protected characteristics?</w:t>
            </w:r>
          </w:p>
          <w:p w14:paraId="65545765" w14:textId="77777777" w:rsidR="002A6AD0" w:rsidRPr="001D3B9C" w:rsidRDefault="00B95925" w:rsidP="006A2C2F">
            <w:pPr>
              <w:pStyle w:val="NoSpacing"/>
              <w:numPr>
                <w:ilvl w:val="0"/>
                <w:numId w:val="1"/>
              </w:numPr>
              <w:jc w:val="both"/>
              <w:rPr>
                <w:rFonts w:ascii="Arial" w:hAnsi="Arial" w:cs="Arial"/>
                <w:i/>
              </w:rPr>
            </w:pPr>
            <w:r w:rsidRPr="001D3B9C">
              <w:rPr>
                <w:rFonts w:ascii="Arial" w:hAnsi="Arial" w:cs="Arial"/>
                <w:i/>
              </w:rPr>
              <w:t>Could the project</w:t>
            </w:r>
            <w:r w:rsidR="001E15FD" w:rsidRPr="001D3B9C">
              <w:rPr>
                <w:rFonts w:ascii="Arial" w:hAnsi="Arial" w:cs="Arial"/>
                <w:i/>
              </w:rPr>
              <w:t xml:space="preserve">, policy or practice </w:t>
            </w:r>
            <w:r w:rsidRPr="001D3B9C">
              <w:rPr>
                <w:rFonts w:ascii="Arial" w:hAnsi="Arial" w:cs="Arial"/>
                <w:i/>
              </w:rPr>
              <w:t>lead to different outcomes for different protected groups?</w:t>
            </w:r>
          </w:p>
          <w:p w14:paraId="12F33B34" w14:textId="2E71F86E" w:rsidR="0086227C" w:rsidRPr="001D3B9C" w:rsidRDefault="0086227C" w:rsidP="0086227C">
            <w:pPr>
              <w:pStyle w:val="NoSpacing"/>
              <w:ind w:left="360"/>
              <w:jc w:val="both"/>
              <w:rPr>
                <w:rFonts w:ascii="Arial" w:hAnsi="Arial" w:cs="Arial"/>
                <w:i/>
              </w:rPr>
            </w:pPr>
          </w:p>
        </w:tc>
        <w:tc>
          <w:tcPr>
            <w:tcW w:w="46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42BC7E" w14:textId="6A9E400E" w:rsidR="006051F8" w:rsidRPr="006051F8" w:rsidRDefault="00C358C5" w:rsidP="006051F8">
            <w:pPr>
              <w:pStyle w:val="NoSpacing"/>
              <w:jc w:val="both"/>
              <w:rPr>
                <w:rFonts w:ascii="Arial" w:hAnsi="Arial" w:cs="Arial"/>
                <w:bCs/>
              </w:rPr>
            </w:pPr>
            <w:r>
              <w:rPr>
                <w:rFonts w:ascii="Arial" w:hAnsi="Arial" w:cs="Arial"/>
                <w:bCs/>
              </w:rPr>
              <w:lastRenderedPageBreak/>
              <w:t>The p</w:t>
            </w:r>
            <w:r w:rsidR="006051F8" w:rsidRPr="006051F8">
              <w:rPr>
                <w:rFonts w:ascii="Arial" w:hAnsi="Arial" w:cs="Arial"/>
                <w:bCs/>
              </w:rPr>
              <w:t>olicy commits to impartial, inclusive careers education, information, advice and guidance (CEIAG).</w:t>
            </w:r>
            <w:r w:rsidR="006051F8">
              <w:rPr>
                <w:rFonts w:ascii="Arial" w:hAnsi="Arial" w:cs="Arial"/>
                <w:bCs/>
              </w:rPr>
              <w:t xml:space="preserve"> </w:t>
            </w:r>
            <w:r w:rsidR="006051F8" w:rsidRPr="006051F8">
              <w:rPr>
                <w:rFonts w:ascii="Arial" w:hAnsi="Arial" w:cs="Arial"/>
                <w:bCs/>
              </w:rPr>
              <w:t>Services are free and accessible to all current students and graduates (for 3 years after graduation).</w:t>
            </w:r>
            <w:r w:rsidR="006051F8">
              <w:rPr>
                <w:rFonts w:ascii="Arial" w:hAnsi="Arial" w:cs="Arial"/>
                <w:bCs/>
              </w:rPr>
              <w:t xml:space="preserve"> </w:t>
            </w:r>
            <w:r w:rsidR="006051F8" w:rsidRPr="006051F8">
              <w:rPr>
                <w:rFonts w:ascii="Arial" w:hAnsi="Arial" w:cs="Arial"/>
                <w:bCs/>
              </w:rPr>
              <w:lastRenderedPageBreak/>
              <w:t>AGCAS Code of Ethics reinforces impartiality</w:t>
            </w:r>
            <w:r w:rsidR="006051F8">
              <w:rPr>
                <w:rFonts w:ascii="Arial" w:hAnsi="Arial" w:cs="Arial"/>
                <w:bCs/>
              </w:rPr>
              <w:t>.</w:t>
            </w:r>
            <w:r w:rsidR="00206500">
              <w:t xml:space="preserve"> </w:t>
            </w:r>
            <w:r w:rsidR="00206500" w:rsidRPr="00206500">
              <w:rPr>
                <w:rFonts w:ascii="Arial" w:hAnsi="Arial" w:cs="Arial"/>
                <w:bCs/>
              </w:rPr>
              <w:t>enable students to make their own informed decision on their chosen career</w:t>
            </w:r>
            <w:r w:rsidR="00206500">
              <w:rPr>
                <w:rFonts w:ascii="Arial" w:hAnsi="Arial" w:cs="Arial"/>
                <w:bCs/>
              </w:rPr>
              <w:t xml:space="preserve">. </w:t>
            </w:r>
          </w:p>
          <w:p w14:paraId="1832F4C9" w14:textId="77777777" w:rsidR="00B95925" w:rsidRPr="001D3B9C" w:rsidRDefault="00B95925">
            <w:pPr>
              <w:pStyle w:val="NoSpacing"/>
              <w:jc w:val="both"/>
              <w:rPr>
                <w:rFonts w:ascii="Arial" w:hAnsi="Arial" w:cs="Arial"/>
                <w:b/>
              </w:rPr>
            </w:pPr>
          </w:p>
        </w:tc>
        <w:tc>
          <w:tcPr>
            <w:tcW w:w="4660" w:type="dxa"/>
            <w:tcBorders>
              <w:top w:val="single" w:sz="4" w:space="0" w:color="auto"/>
              <w:left w:val="single" w:sz="4" w:space="0" w:color="auto"/>
              <w:bottom w:val="single" w:sz="4" w:space="0" w:color="auto"/>
              <w:right w:val="single" w:sz="4" w:space="0" w:color="auto"/>
            </w:tcBorders>
            <w:shd w:val="clear" w:color="auto" w:fill="FFFFFF" w:themeFill="background1"/>
          </w:tcPr>
          <w:p w14:paraId="75E59404" w14:textId="4ECBD650" w:rsidR="00B95925" w:rsidRPr="001D3B9C" w:rsidRDefault="006051F8" w:rsidP="006051F8">
            <w:pPr>
              <w:pStyle w:val="NoSpacing"/>
              <w:jc w:val="both"/>
              <w:rPr>
                <w:rFonts w:ascii="Arial" w:hAnsi="Arial" w:cs="Arial"/>
                <w:b/>
              </w:rPr>
            </w:pPr>
            <w:r w:rsidRPr="006051F8">
              <w:rPr>
                <w:rFonts w:ascii="Arial" w:hAnsi="Arial" w:cs="Arial"/>
                <w:bCs/>
              </w:rPr>
              <w:lastRenderedPageBreak/>
              <w:t>Embedding impartiality reduces risks of exclusion or bias.</w:t>
            </w:r>
            <w:r>
              <w:rPr>
                <w:rFonts w:ascii="Arial" w:hAnsi="Arial" w:cs="Arial"/>
                <w:bCs/>
              </w:rPr>
              <w:t xml:space="preserve"> </w:t>
            </w:r>
            <w:r w:rsidRPr="006051F8">
              <w:rPr>
                <w:rFonts w:ascii="Arial" w:hAnsi="Arial" w:cs="Arial"/>
                <w:bCs/>
              </w:rPr>
              <w:t>No protected group is explicitly disadvantaged.</w:t>
            </w:r>
            <w:r w:rsidR="00C358C5">
              <w:rPr>
                <w:rFonts w:ascii="Arial" w:hAnsi="Arial" w:cs="Arial"/>
                <w:bCs/>
              </w:rPr>
              <w:t xml:space="preserve"> </w:t>
            </w:r>
            <w:r w:rsidR="00C358C5" w:rsidRPr="00C358C5">
              <w:rPr>
                <w:rFonts w:ascii="Arial" w:hAnsi="Arial" w:cs="Arial"/>
                <w:bCs/>
              </w:rPr>
              <w:t>By embedding values-based tools and explicitly linking careers with sustainability</w:t>
            </w:r>
            <w:r w:rsidR="00C358C5">
              <w:rPr>
                <w:rFonts w:ascii="Arial" w:hAnsi="Arial" w:cs="Arial"/>
                <w:bCs/>
              </w:rPr>
              <w:t xml:space="preserve"> and </w:t>
            </w:r>
            <w:r w:rsidR="00C358C5" w:rsidRPr="00C358C5">
              <w:rPr>
                <w:rFonts w:ascii="Arial" w:hAnsi="Arial" w:cs="Arial"/>
                <w:bCs/>
              </w:rPr>
              <w:t>wellbein</w:t>
            </w:r>
            <w:r w:rsidR="00C358C5">
              <w:rPr>
                <w:rFonts w:ascii="Arial" w:hAnsi="Arial" w:cs="Arial"/>
                <w:bCs/>
              </w:rPr>
              <w:t>g</w:t>
            </w:r>
            <w:r w:rsidR="00C358C5" w:rsidRPr="00C358C5">
              <w:rPr>
                <w:rFonts w:ascii="Arial" w:hAnsi="Arial" w:cs="Arial"/>
                <w:bCs/>
              </w:rPr>
              <w:t xml:space="preserve">, the </w:t>
            </w:r>
            <w:r w:rsidR="00C358C5" w:rsidRPr="00C358C5">
              <w:rPr>
                <w:rFonts w:ascii="Arial" w:hAnsi="Arial" w:cs="Arial"/>
                <w:bCs/>
              </w:rPr>
              <w:lastRenderedPageBreak/>
              <w:t xml:space="preserve">policy can help </w:t>
            </w:r>
            <w:r w:rsidR="00C358C5" w:rsidRPr="00C358C5">
              <w:rPr>
                <w:rFonts w:ascii="Arial" w:hAnsi="Arial" w:cs="Arial"/>
              </w:rPr>
              <w:t>mitigate inequalities</w:t>
            </w:r>
            <w:r w:rsidR="00C358C5" w:rsidRPr="00C358C5">
              <w:rPr>
                <w:rFonts w:ascii="Arial" w:hAnsi="Arial" w:cs="Arial"/>
                <w:bCs/>
              </w:rPr>
              <w:t xml:space="preserve"> by empowering students to choose employers aligned with their needs and values.</w:t>
            </w:r>
          </w:p>
        </w:tc>
      </w:tr>
      <w:tr w:rsidR="00B95925" w:rsidRPr="001D3B9C" w14:paraId="76D6CE86" w14:textId="77777777" w:rsidTr="001756C0">
        <w:tc>
          <w:tcPr>
            <w:tcW w:w="466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9A5282" w14:textId="77777777" w:rsidR="00B95925" w:rsidRPr="001D3B9C" w:rsidRDefault="00B95925">
            <w:pPr>
              <w:pStyle w:val="NoSpacing"/>
              <w:tabs>
                <w:tab w:val="left" w:pos="2340"/>
              </w:tabs>
              <w:jc w:val="both"/>
              <w:rPr>
                <w:rFonts w:ascii="Arial" w:hAnsi="Arial" w:cs="Arial"/>
                <w:b/>
              </w:rPr>
            </w:pPr>
            <w:r w:rsidRPr="001D3B9C">
              <w:rPr>
                <w:rFonts w:ascii="Arial" w:hAnsi="Arial" w:cs="Arial"/>
                <w:b/>
              </w:rPr>
              <w:lastRenderedPageBreak/>
              <w:t>Advancing Equality of Opportunity</w:t>
            </w:r>
          </w:p>
          <w:p w14:paraId="1A5C33F9" w14:textId="77777777" w:rsidR="00B95925" w:rsidRPr="001D3B9C" w:rsidRDefault="00B95925">
            <w:pPr>
              <w:pStyle w:val="NoSpacing"/>
              <w:tabs>
                <w:tab w:val="left" w:pos="2340"/>
              </w:tabs>
              <w:jc w:val="both"/>
              <w:rPr>
                <w:rFonts w:ascii="Arial" w:hAnsi="Arial" w:cs="Arial"/>
                <w:b/>
              </w:rPr>
            </w:pPr>
          </w:p>
          <w:p w14:paraId="5E429CEA" w14:textId="77777777" w:rsidR="00B95925" w:rsidRPr="001D3B9C" w:rsidRDefault="00B95925" w:rsidP="00831F18">
            <w:pPr>
              <w:pStyle w:val="NoSpacing"/>
              <w:numPr>
                <w:ilvl w:val="0"/>
                <w:numId w:val="2"/>
              </w:numPr>
              <w:tabs>
                <w:tab w:val="left" w:pos="2340"/>
              </w:tabs>
              <w:jc w:val="both"/>
              <w:rPr>
                <w:rFonts w:ascii="Arial" w:hAnsi="Arial" w:cs="Arial"/>
                <w:i/>
              </w:rPr>
            </w:pPr>
            <w:r w:rsidRPr="001D3B9C">
              <w:rPr>
                <w:rFonts w:ascii="Arial" w:hAnsi="Arial" w:cs="Arial"/>
                <w:i/>
              </w:rPr>
              <w:t>Will the needs of staff and students with different protected characteristics be met?</w:t>
            </w:r>
          </w:p>
          <w:p w14:paraId="3C8AA575" w14:textId="77777777" w:rsidR="00B95925" w:rsidRPr="001D3B9C" w:rsidRDefault="00B95925" w:rsidP="00831F18">
            <w:pPr>
              <w:pStyle w:val="NoSpacing"/>
              <w:numPr>
                <w:ilvl w:val="0"/>
                <w:numId w:val="2"/>
              </w:numPr>
              <w:tabs>
                <w:tab w:val="left" w:pos="2340"/>
              </w:tabs>
              <w:jc w:val="both"/>
              <w:rPr>
                <w:rFonts w:ascii="Arial" w:hAnsi="Arial" w:cs="Arial"/>
                <w:i/>
              </w:rPr>
            </w:pPr>
            <w:r w:rsidRPr="001D3B9C">
              <w:rPr>
                <w:rFonts w:ascii="Arial" w:hAnsi="Arial" w:cs="Arial"/>
                <w:i/>
              </w:rPr>
              <w:t>Could the project</w:t>
            </w:r>
            <w:r w:rsidR="001E15FD" w:rsidRPr="001D3B9C">
              <w:rPr>
                <w:rFonts w:ascii="Arial" w:hAnsi="Arial" w:cs="Arial"/>
                <w:i/>
              </w:rPr>
              <w:t>, policy or practice</w:t>
            </w:r>
            <w:r w:rsidRPr="001D3B9C">
              <w:rPr>
                <w:rFonts w:ascii="Arial" w:hAnsi="Arial" w:cs="Arial"/>
                <w:i/>
              </w:rPr>
              <w:t xml:space="preserve"> lead to increased take-up / participation by protected groups?</w:t>
            </w:r>
          </w:p>
          <w:p w14:paraId="2DFA5B49" w14:textId="77777777" w:rsidR="00B95925" w:rsidRPr="001D3B9C" w:rsidRDefault="00B95925" w:rsidP="00831F18">
            <w:pPr>
              <w:pStyle w:val="NoSpacing"/>
              <w:numPr>
                <w:ilvl w:val="0"/>
                <w:numId w:val="2"/>
              </w:numPr>
              <w:tabs>
                <w:tab w:val="left" w:pos="2340"/>
              </w:tabs>
              <w:jc w:val="both"/>
              <w:rPr>
                <w:rFonts w:ascii="Arial" w:hAnsi="Arial" w:cs="Arial"/>
                <w:i/>
              </w:rPr>
            </w:pPr>
            <w:r w:rsidRPr="001D3B9C">
              <w:rPr>
                <w:rFonts w:ascii="Arial" w:hAnsi="Arial" w:cs="Arial"/>
                <w:i/>
              </w:rPr>
              <w:t>Are there any opportunities to proactively advance equality for specific protected groups and / or between protected groups?</w:t>
            </w:r>
          </w:p>
          <w:p w14:paraId="788CDAEE" w14:textId="77777777" w:rsidR="002A6AD0" w:rsidRPr="001D3B9C" w:rsidRDefault="002A6AD0" w:rsidP="002A6AD0">
            <w:pPr>
              <w:pStyle w:val="NoSpacing"/>
              <w:tabs>
                <w:tab w:val="left" w:pos="2340"/>
              </w:tabs>
              <w:ind w:left="360"/>
              <w:jc w:val="both"/>
              <w:rPr>
                <w:rFonts w:ascii="Arial" w:hAnsi="Arial" w:cs="Arial"/>
                <w:i/>
              </w:rPr>
            </w:pPr>
          </w:p>
        </w:tc>
        <w:tc>
          <w:tcPr>
            <w:tcW w:w="46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8C7011" w14:textId="2C6BCBA3" w:rsidR="006051F8" w:rsidRPr="006051F8" w:rsidRDefault="006051F8" w:rsidP="006051F8">
            <w:pPr>
              <w:pStyle w:val="NoSpacing"/>
              <w:jc w:val="both"/>
              <w:rPr>
                <w:rFonts w:ascii="Arial" w:hAnsi="Arial" w:cs="Arial"/>
                <w:bCs/>
              </w:rPr>
            </w:pPr>
            <w:r w:rsidRPr="006051F8">
              <w:rPr>
                <w:rFonts w:ascii="Arial" w:hAnsi="Arial" w:cs="Arial"/>
                <w:bCs/>
              </w:rPr>
              <w:t xml:space="preserve">The policy explicitly states that Careers &amp; Employability services are freely accessible to all students and eligible graduates, with tailored provision through academic schools, extracurricular opportunities, and online platforms. Its focus on impartiality, inclusivity, and alignment with the Well-being of Future Generations Act supports meeting the needs of students with different protected characteristics. </w:t>
            </w:r>
          </w:p>
          <w:p w14:paraId="497B779C" w14:textId="77777777" w:rsidR="006051F8" w:rsidRPr="006051F8" w:rsidRDefault="006051F8" w:rsidP="006051F8">
            <w:pPr>
              <w:pStyle w:val="NoSpacing"/>
              <w:jc w:val="both"/>
              <w:rPr>
                <w:rFonts w:ascii="Arial" w:hAnsi="Arial" w:cs="Arial"/>
                <w:bCs/>
              </w:rPr>
            </w:pPr>
          </w:p>
          <w:p w14:paraId="6189A164" w14:textId="77777777" w:rsidR="00B95925" w:rsidRDefault="006051F8" w:rsidP="006051F8">
            <w:pPr>
              <w:pStyle w:val="NoSpacing"/>
              <w:jc w:val="both"/>
              <w:rPr>
                <w:rFonts w:ascii="Arial" w:hAnsi="Arial" w:cs="Arial"/>
                <w:bCs/>
              </w:rPr>
            </w:pPr>
            <w:r w:rsidRPr="006051F8">
              <w:rPr>
                <w:rFonts w:ascii="Arial" w:hAnsi="Arial" w:cs="Arial"/>
                <w:bCs/>
              </w:rPr>
              <w:t xml:space="preserve">Tools such as </w:t>
            </w:r>
            <w:proofErr w:type="spellStart"/>
            <w:r w:rsidRPr="006051F8">
              <w:rPr>
                <w:rFonts w:ascii="Arial" w:hAnsi="Arial" w:cs="Arial"/>
                <w:bCs/>
              </w:rPr>
              <w:t>CareerConnect</w:t>
            </w:r>
            <w:proofErr w:type="spellEnd"/>
            <w:r w:rsidRPr="006051F8">
              <w:rPr>
                <w:rFonts w:ascii="Arial" w:hAnsi="Arial" w:cs="Arial"/>
                <w:bCs/>
              </w:rPr>
              <w:t>, Windo, Career Success Pathway encourage inclusive and values-based decision-making.</w:t>
            </w:r>
          </w:p>
          <w:p w14:paraId="6B3B8C9A" w14:textId="77777777" w:rsidR="00206500" w:rsidRDefault="00206500" w:rsidP="006051F8">
            <w:pPr>
              <w:pStyle w:val="NoSpacing"/>
              <w:jc w:val="both"/>
              <w:rPr>
                <w:rFonts w:ascii="Arial" w:hAnsi="Arial" w:cs="Arial"/>
                <w:bCs/>
              </w:rPr>
            </w:pPr>
          </w:p>
          <w:p w14:paraId="4EB7CD61" w14:textId="6DD644B9" w:rsidR="00206500" w:rsidRPr="006051F8" w:rsidRDefault="00206500" w:rsidP="006051F8">
            <w:pPr>
              <w:pStyle w:val="NoSpacing"/>
              <w:jc w:val="both"/>
              <w:rPr>
                <w:rFonts w:ascii="Arial" w:hAnsi="Arial" w:cs="Arial"/>
                <w:bCs/>
              </w:rPr>
            </w:pPr>
            <w:r>
              <w:rPr>
                <w:rFonts w:ascii="Arial" w:hAnsi="Arial" w:cs="Arial"/>
                <w:bCs/>
              </w:rPr>
              <w:t xml:space="preserve">Empowering students to make informed decisions about the careers could increase participation from protected groups. </w:t>
            </w:r>
          </w:p>
        </w:tc>
        <w:tc>
          <w:tcPr>
            <w:tcW w:w="4660" w:type="dxa"/>
            <w:tcBorders>
              <w:top w:val="single" w:sz="4" w:space="0" w:color="auto"/>
              <w:left w:val="single" w:sz="4" w:space="0" w:color="auto"/>
              <w:bottom w:val="single" w:sz="4" w:space="0" w:color="auto"/>
              <w:right w:val="single" w:sz="4" w:space="0" w:color="auto"/>
            </w:tcBorders>
            <w:shd w:val="clear" w:color="auto" w:fill="FFFFFF" w:themeFill="background1"/>
          </w:tcPr>
          <w:p w14:paraId="3B4F28E8" w14:textId="4B692D37" w:rsidR="006051F8" w:rsidRDefault="00206500" w:rsidP="006051F8">
            <w:pPr>
              <w:pStyle w:val="NoSpacing"/>
              <w:jc w:val="both"/>
              <w:rPr>
                <w:rFonts w:ascii="Arial" w:hAnsi="Arial" w:cs="Arial"/>
                <w:bCs/>
              </w:rPr>
            </w:pPr>
            <w:r>
              <w:rPr>
                <w:rFonts w:ascii="Arial" w:hAnsi="Arial" w:cs="Arial"/>
                <w:bCs/>
              </w:rPr>
              <w:t xml:space="preserve">The </w:t>
            </w:r>
            <w:r w:rsidR="006051F8" w:rsidRPr="006051F8">
              <w:rPr>
                <w:rFonts w:ascii="Arial" w:hAnsi="Arial" w:cs="Arial"/>
                <w:bCs/>
              </w:rPr>
              <w:t xml:space="preserve">Policy creates opportunities to advance equality by embedding inclusive employer </w:t>
            </w:r>
            <w:r>
              <w:rPr>
                <w:rFonts w:ascii="Arial" w:hAnsi="Arial" w:cs="Arial"/>
                <w:bCs/>
              </w:rPr>
              <w:t xml:space="preserve">information. </w:t>
            </w:r>
            <w:r w:rsidR="00C358C5">
              <w:rPr>
                <w:rFonts w:ascii="Arial" w:hAnsi="Arial" w:cs="Arial"/>
                <w:bCs/>
              </w:rPr>
              <w:t>It o</w:t>
            </w:r>
            <w:r w:rsidR="006051F8" w:rsidRPr="006051F8">
              <w:rPr>
                <w:rFonts w:ascii="Arial" w:hAnsi="Arial" w:cs="Arial"/>
                <w:bCs/>
              </w:rPr>
              <w:t>ffers specific chances to support underrepresented groups in accessing placements, networks, and career planning.</w:t>
            </w:r>
          </w:p>
          <w:p w14:paraId="7C4ED1E2" w14:textId="77777777" w:rsidR="00B95925" w:rsidRPr="006051F8" w:rsidRDefault="00B95925" w:rsidP="00C358C5">
            <w:pPr>
              <w:pStyle w:val="NoSpacing"/>
              <w:jc w:val="both"/>
              <w:rPr>
                <w:rFonts w:ascii="Arial" w:hAnsi="Arial" w:cs="Arial"/>
                <w:bCs/>
              </w:rPr>
            </w:pPr>
          </w:p>
        </w:tc>
      </w:tr>
      <w:tr w:rsidR="00B95925" w:rsidRPr="001D3B9C" w14:paraId="3CD8D286" w14:textId="77777777" w:rsidTr="001756C0">
        <w:tc>
          <w:tcPr>
            <w:tcW w:w="466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BDDB99" w14:textId="77777777" w:rsidR="00B95925" w:rsidRPr="001D3B9C" w:rsidRDefault="00B95925">
            <w:pPr>
              <w:pStyle w:val="NoSpacing"/>
              <w:jc w:val="both"/>
              <w:rPr>
                <w:rFonts w:ascii="Arial" w:hAnsi="Arial" w:cs="Arial"/>
                <w:b/>
              </w:rPr>
            </w:pPr>
            <w:r w:rsidRPr="001D3B9C">
              <w:rPr>
                <w:rFonts w:ascii="Arial" w:hAnsi="Arial" w:cs="Arial"/>
                <w:b/>
              </w:rPr>
              <w:t>Promoting Good Relations</w:t>
            </w:r>
          </w:p>
          <w:p w14:paraId="739E4C3A" w14:textId="77777777" w:rsidR="00B95925" w:rsidRPr="001D3B9C" w:rsidRDefault="00B95925">
            <w:pPr>
              <w:pStyle w:val="NoSpacing"/>
              <w:jc w:val="both"/>
              <w:rPr>
                <w:rFonts w:ascii="Arial" w:hAnsi="Arial" w:cs="Arial"/>
                <w:b/>
              </w:rPr>
            </w:pPr>
          </w:p>
          <w:p w14:paraId="1ADF507F" w14:textId="77777777" w:rsidR="00B95925" w:rsidRPr="001D3B9C" w:rsidRDefault="00B95925" w:rsidP="00831F18">
            <w:pPr>
              <w:pStyle w:val="NoSpacing"/>
              <w:numPr>
                <w:ilvl w:val="0"/>
                <w:numId w:val="3"/>
              </w:numPr>
              <w:jc w:val="both"/>
              <w:rPr>
                <w:rFonts w:ascii="Arial" w:hAnsi="Arial" w:cs="Arial"/>
                <w:i/>
              </w:rPr>
            </w:pPr>
            <w:r w:rsidRPr="001D3B9C">
              <w:rPr>
                <w:rFonts w:ascii="Arial" w:hAnsi="Arial" w:cs="Arial"/>
                <w:i/>
              </w:rPr>
              <w:t>Have steps been taken to tackle prejudice and promote understanding?</w:t>
            </w:r>
          </w:p>
          <w:p w14:paraId="041FE2B2" w14:textId="77777777" w:rsidR="00B95925" w:rsidRPr="001D3B9C" w:rsidRDefault="00B95925" w:rsidP="00831F18">
            <w:pPr>
              <w:pStyle w:val="NoSpacing"/>
              <w:numPr>
                <w:ilvl w:val="0"/>
                <w:numId w:val="3"/>
              </w:numPr>
              <w:jc w:val="both"/>
              <w:rPr>
                <w:rFonts w:ascii="Arial" w:hAnsi="Arial" w:cs="Arial"/>
                <w:b/>
              </w:rPr>
            </w:pPr>
            <w:r w:rsidRPr="001D3B9C">
              <w:rPr>
                <w:rFonts w:ascii="Arial" w:hAnsi="Arial" w:cs="Arial"/>
                <w:i/>
              </w:rPr>
              <w:t>How have relevant individuals, groups or organisations been involved / consulted in developing and impact assessing the project?</w:t>
            </w:r>
          </w:p>
          <w:p w14:paraId="56486FE0" w14:textId="77777777" w:rsidR="007A2336" w:rsidRPr="001D3B9C" w:rsidRDefault="007A2336" w:rsidP="007A2336">
            <w:pPr>
              <w:pStyle w:val="NoSpacing"/>
              <w:ind w:left="360"/>
              <w:jc w:val="both"/>
              <w:rPr>
                <w:rFonts w:ascii="Arial" w:hAnsi="Arial" w:cs="Arial"/>
                <w:b/>
              </w:rPr>
            </w:pPr>
          </w:p>
        </w:tc>
        <w:tc>
          <w:tcPr>
            <w:tcW w:w="46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FBD8A2" w14:textId="77777777" w:rsidR="00C358C5" w:rsidRDefault="00C358C5" w:rsidP="00C358C5">
            <w:pPr>
              <w:pStyle w:val="NoSpacing"/>
              <w:jc w:val="both"/>
              <w:rPr>
                <w:rFonts w:ascii="Arial" w:hAnsi="Arial" w:cs="Arial"/>
                <w:bCs/>
              </w:rPr>
            </w:pPr>
            <w:r w:rsidRPr="00C358C5">
              <w:rPr>
                <w:rFonts w:ascii="Arial" w:hAnsi="Arial" w:cs="Arial"/>
                <w:bCs/>
              </w:rPr>
              <w:t>The policy is aligned with Bangor University’s Strategy 2030 and has been shaped by sector standards such as the AGCAS Code of Ethics.</w:t>
            </w:r>
          </w:p>
          <w:p w14:paraId="487003DB" w14:textId="77777777" w:rsidR="00C358C5" w:rsidRDefault="00C358C5" w:rsidP="00C358C5">
            <w:pPr>
              <w:pStyle w:val="NoSpacing"/>
              <w:jc w:val="both"/>
              <w:rPr>
                <w:rFonts w:ascii="Arial" w:hAnsi="Arial" w:cs="Arial"/>
                <w:bCs/>
              </w:rPr>
            </w:pPr>
          </w:p>
          <w:p w14:paraId="0D5333EB" w14:textId="4C8B6B34" w:rsidR="00C358C5" w:rsidRPr="00C358C5" w:rsidRDefault="00C358C5" w:rsidP="00C358C5">
            <w:pPr>
              <w:pStyle w:val="NoSpacing"/>
              <w:jc w:val="both"/>
              <w:rPr>
                <w:rFonts w:ascii="Arial" w:hAnsi="Arial" w:cs="Arial"/>
                <w:bCs/>
              </w:rPr>
            </w:pPr>
            <w:r w:rsidRPr="00C358C5">
              <w:rPr>
                <w:rFonts w:ascii="Arial" w:hAnsi="Arial" w:cs="Arial"/>
                <w:bCs/>
              </w:rPr>
              <w:t xml:space="preserve">The policy has had input from professional services and academic staff from employability and sustainability, with insight also gained from an all-Wales group on sustainability in employment and approved by Chair of the Education and Student </w:t>
            </w:r>
            <w:r w:rsidRPr="00C358C5">
              <w:rPr>
                <w:rFonts w:ascii="Arial" w:hAnsi="Arial" w:cs="Arial"/>
                <w:bCs/>
              </w:rPr>
              <w:lastRenderedPageBreak/>
              <w:t xml:space="preserve">Experience Committee and Chair of the Sustainability Committee. </w:t>
            </w:r>
          </w:p>
          <w:p w14:paraId="13695BC5" w14:textId="2A3B2EBA" w:rsidR="00C358C5" w:rsidRPr="00C358C5" w:rsidRDefault="00C358C5" w:rsidP="00C358C5">
            <w:pPr>
              <w:pStyle w:val="NoSpacing"/>
              <w:jc w:val="both"/>
              <w:rPr>
                <w:rFonts w:ascii="Arial" w:hAnsi="Arial" w:cs="Arial"/>
                <w:b/>
              </w:rPr>
            </w:pPr>
          </w:p>
          <w:p w14:paraId="47B2825D" w14:textId="77777777" w:rsidR="00C358C5" w:rsidRPr="00C358C5" w:rsidRDefault="00C358C5" w:rsidP="00C358C5">
            <w:pPr>
              <w:pStyle w:val="NoSpacing"/>
              <w:jc w:val="both"/>
              <w:rPr>
                <w:rFonts w:ascii="Arial" w:hAnsi="Arial" w:cs="Arial"/>
                <w:bCs/>
              </w:rPr>
            </w:pPr>
          </w:p>
          <w:p w14:paraId="263FF683" w14:textId="77777777" w:rsidR="00C358C5" w:rsidRPr="00C358C5" w:rsidRDefault="00C358C5" w:rsidP="00C358C5">
            <w:pPr>
              <w:pStyle w:val="NoSpacing"/>
              <w:jc w:val="both"/>
              <w:rPr>
                <w:rFonts w:ascii="Arial" w:hAnsi="Arial" w:cs="Arial"/>
                <w:bCs/>
              </w:rPr>
            </w:pPr>
            <w:r w:rsidRPr="00C358C5">
              <w:rPr>
                <w:rFonts w:ascii="Arial" w:hAnsi="Arial" w:cs="Arial"/>
                <w:bCs/>
              </w:rPr>
              <w:t>Careers &amp; Employability services are informed by feedback from students, graduates, employers, and academic schools, with consultation through surveys, events, and partnership working.</w:t>
            </w:r>
          </w:p>
          <w:p w14:paraId="7EE0D96D" w14:textId="77777777" w:rsidR="00C358C5" w:rsidRPr="00C358C5" w:rsidRDefault="00C358C5" w:rsidP="00C358C5">
            <w:pPr>
              <w:pStyle w:val="NoSpacing"/>
              <w:jc w:val="both"/>
              <w:rPr>
                <w:rFonts w:ascii="Arial" w:hAnsi="Arial" w:cs="Arial"/>
                <w:bCs/>
              </w:rPr>
            </w:pPr>
          </w:p>
          <w:p w14:paraId="02159994" w14:textId="77777777" w:rsidR="00B95925" w:rsidRDefault="00C358C5" w:rsidP="00C358C5">
            <w:pPr>
              <w:pStyle w:val="NoSpacing"/>
              <w:jc w:val="both"/>
              <w:rPr>
                <w:rFonts w:ascii="Arial" w:hAnsi="Arial" w:cs="Arial"/>
                <w:bCs/>
              </w:rPr>
            </w:pPr>
            <w:r w:rsidRPr="00C358C5">
              <w:rPr>
                <w:rFonts w:ascii="Arial" w:hAnsi="Arial" w:cs="Arial"/>
                <w:bCs/>
              </w:rPr>
              <w:t xml:space="preserve">Equality, Diversity &amp; Inclusion considerations are embedded in institutional strategies, and feedback from </w:t>
            </w:r>
            <w:r>
              <w:rPr>
                <w:rFonts w:ascii="Arial" w:hAnsi="Arial" w:cs="Arial"/>
                <w:bCs/>
              </w:rPr>
              <w:t xml:space="preserve">the Students’ Union has and </w:t>
            </w:r>
            <w:r w:rsidRPr="00C358C5">
              <w:rPr>
                <w:rFonts w:ascii="Arial" w:hAnsi="Arial" w:cs="Arial"/>
                <w:bCs/>
              </w:rPr>
              <w:t>will continue to inform implementation.</w:t>
            </w:r>
          </w:p>
          <w:p w14:paraId="5E267050" w14:textId="77777777" w:rsidR="00206500" w:rsidRDefault="00206500" w:rsidP="00C358C5">
            <w:pPr>
              <w:pStyle w:val="NoSpacing"/>
              <w:jc w:val="both"/>
              <w:rPr>
                <w:rFonts w:ascii="Arial" w:hAnsi="Arial" w:cs="Arial"/>
                <w:bCs/>
              </w:rPr>
            </w:pPr>
          </w:p>
          <w:p w14:paraId="156729EB" w14:textId="77777777" w:rsidR="00206500" w:rsidRDefault="00206500" w:rsidP="00C358C5">
            <w:pPr>
              <w:pStyle w:val="NoSpacing"/>
              <w:jc w:val="both"/>
              <w:rPr>
                <w:rFonts w:ascii="Arial" w:hAnsi="Arial" w:cs="Arial"/>
                <w:bCs/>
              </w:rPr>
            </w:pPr>
            <w:r>
              <w:rPr>
                <w:rFonts w:ascii="Arial" w:hAnsi="Arial" w:cs="Arial"/>
                <w:bCs/>
              </w:rPr>
              <w:t>The policy was reviewed by the following groups:</w:t>
            </w:r>
          </w:p>
          <w:p w14:paraId="7D179763" w14:textId="34CE80C6" w:rsidR="00206500" w:rsidRPr="00206500" w:rsidRDefault="00206500" w:rsidP="00206500">
            <w:pPr>
              <w:pStyle w:val="NoSpacing"/>
              <w:numPr>
                <w:ilvl w:val="0"/>
                <w:numId w:val="7"/>
              </w:numPr>
              <w:jc w:val="both"/>
              <w:rPr>
                <w:rFonts w:ascii="Arial" w:hAnsi="Arial" w:cs="Arial"/>
                <w:bCs/>
              </w:rPr>
            </w:pPr>
            <w:r w:rsidRPr="00206500">
              <w:rPr>
                <w:rFonts w:ascii="Arial" w:hAnsi="Arial" w:cs="Arial"/>
                <w:bCs/>
              </w:rPr>
              <w:t xml:space="preserve">Education and Student Experience Committee </w:t>
            </w:r>
            <w:r>
              <w:rPr>
                <w:rFonts w:ascii="Arial" w:hAnsi="Arial" w:cs="Arial"/>
                <w:bCs/>
              </w:rPr>
              <w:t>(</w:t>
            </w:r>
            <w:r w:rsidRPr="00206500">
              <w:rPr>
                <w:rFonts w:ascii="Arial" w:hAnsi="Arial" w:cs="Arial"/>
                <w:bCs/>
              </w:rPr>
              <w:t>April 2025</w:t>
            </w:r>
            <w:r>
              <w:rPr>
                <w:rFonts w:ascii="Arial" w:hAnsi="Arial" w:cs="Arial"/>
                <w:bCs/>
              </w:rPr>
              <w:t>)</w:t>
            </w:r>
          </w:p>
          <w:p w14:paraId="33F8BA78" w14:textId="346D4332" w:rsidR="00206500" w:rsidRPr="001D3B9C" w:rsidRDefault="00206500" w:rsidP="00206500">
            <w:pPr>
              <w:pStyle w:val="NoSpacing"/>
              <w:numPr>
                <w:ilvl w:val="0"/>
                <w:numId w:val="7"/>
              </w:numPr>
              <w:jc w:val="both"/>
              <w:rPr>
                <w:rFonts w:ascii="Arial" w:hAnsi="Arial" w:cs="Arial"/>
                <w:b/>
              </w:rPr>
            </w:pPr>
            <w:r w:rsidRPr="00206500">
              <w:rPr>
                <w:rFonts w:ascii="Arial" w:hAnsi="Arial" w:cs="Arial"/>
                <w:bCs/>
              </w:rPr>
              <w:t xml:space="preserve">Sustainability Committee </w:t>
            </w:r>
            <w:r>
              <w:rPr>
                <w:rFonts w:ascii="Arial" w:hAnsi="Arial" w:cs="Arial"/>
                <w:bCs/>
              </w:rPr>
              <w:t>(</w:t>
            </w:r>
            <w:r w:rsidRPr="00206500">
              <w:rPr>
                <w:rFonts w:ascii="Arial" w:hAnsi="Arial" w:cs="Arial"/>
                <w:bCs/>
              </w:rPr>
              <w:t>May 2025</w:t>
            </w:r>
            <w:r>
              <w:rPr>
                <w:rFonts w:ascii="Arial" w:hAnsi="Arial" w:cs="Arial"/>
                <w:bCs/>
              </w:rPr>
              <w:t>)</w:t>
            </w:r>
          </w:p>
        </w:tc>
        <w:tc>
          <w:tcPr>
            <w:tcW w:w="4660" w:type="dxa"/>
            <w:tcBorders>
              <w:top w:val="single" w:sz="4" w:space="0" w:color="auto"/>
              <w:left w:val="single" w:sz="4" w:space="0" w:color="auto"/>
              <w:bottom w:val="single" w:sz="4" w:space="0" w:color="auto"/>
              <w:right w:val="single" w:sz="4" w:space="0" w:color="auto"/>
            </w:tcBorders>
            <w:shd w:val="clear" w:color="auto" w:fill="FFFFFF" w:themeFill="background1"/>
          </w:tcPr>
          <w:p w14:paraId="68165C1E" w14:textId="17BF4D6E" w:rsidR="00B95925" w:rsidRPr="00C358C5" w:rsidRDefault="00C358C5">
            <w:pPr>
              <w:pStyle w:val="NoSpacing"/>
              <w:jc w:val="both"/>
              <w:rPr>
                <w:rFonts w:ascii="Arial" w:hAnsi="Arial" w:cs="Arial"/>
                <w:bCs/>
              </w:rPr>
            </w:pPr>
            <w:r w:rsidRPr="00C358C5">
              <w:rPr>
                <w:rFonts w:ascii="Arial" w:hAnsi="Arial" w:cs="Arial"/>
                <w:bCs/>
              </w:rPr>
              <w:lastRenderedPageBreak/>
              <w:t>Regular consultation ensures services remain responsive to diverse needs, helping to identify and address barriers (e.g., accessibility, discrimination in recruitment) and adapt provision accordingly.</w:t>
            </w:r>
          </w:p>
        </w:tc>
      </w:tr>
      <w:tr w:rsidR="001756C0" w:rsidRPr="001D3B9C" w14:paraId="61E5AA26" w14:textId="77777777" w:rsidTr="006A6E3B">
        <w:tc>
          <w:tcPr>
            <w:tcW w:w="13980"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3951CE" w14:textId="77777777" w:rsidR="001756C0" w:rsidRPr="001D3B9C" w:rsidRDefault="001756C0">
            <w:pPr>
              <w:pStyle w:val="NoSpacing"/>
              <w:jc w:val="both"/>
              <w:rPr>
                <w:rFonts w:ascii="Arial" w:hAnsi="Arial" w:cs="Arial"/>
                <w:b/>
              </w:rPr>
            </w:pPr>
            <w:r w:rsidRPr="001D3B9C">
              <w:rPr>
                <w:rFonts w:ascii="Arial" w:hAnsi="Arial" w:cs="Arial"/>
                <w:b/>
              </w:rPr>
              <w:t>Based on the above assessment, what course of action is required?</w:t>
            </w:r>
          </w:p>
          <w:p w14:paraId="65114089" w14:textId="510412B8" w:rsidR="001756C0" w:rsidRPr="001D3B9C" w:rsidRDefault="001756C0">
            <w:pPr>
              <w:pStyle w:val="NoSpacing"/>
              <w:jc w:val="both"/>
              <w:rPr>
                <w:rFonts w:ascii="Arial" w:hAnsi="Arial" w:cs="Arial"/>
                <w:b/>
              </w:rPr>
            </w:pPr>
          </w:p>
        </w:tc>
      </w:tr>
      <w:tr w:rsidR="00B95925" w:rsidRPr="001D3B9C" w14:paraId="5338AD80" w14:textId="77777777" w:rsidTr="001756C0">
        <w:tc>
          <w:tcPr>
            <w:tcW w:w="699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BD609A" w14:textId="212E48E0" w:rsidR="00B95925" w:rsidRDefault="00B95925">
            <w:pPr>
              <w:pStyle w:val="NoSpacing"/>
              <w:jc w:val="both"/>
              <w:rPr>
                <w:rFonts w:ascii="Arial" w:hAnsi="Arial" w:cs="Arial"/>
                <w:b/>
              </w:rPr>
            </w:pPr>
            <w:r w:rsidRPr="001D3B9C">
              <w:rPr>
                <w:rFonts w:ascii="Arial" w:hAnsi="Arial" w:cs="Arial"/>
                <w:b/>
              </w:rPr>
              <w:t>No major change required</w:t>
            </w:r>
          </w:p>
          <w:p w14:paraId="205C23B3" w14:textId="77777777" w:rsidR="002B44F1" w:rsidRDefault="002B44F1">
            <w:pPr>
              <w:pStyle w:val="NoSpacing"/>
              <w:jc w:val="both"/>
              <w:rPr>
                <w:rFonts w:ascii="Arial" w:hAnsi="Arial" w:cs="Arial"/>
                <w:b/>
              </w:rPr>
            </w:pPr>
          </w:p>
          <w:p w14:paraId="217AFAC4" w14:textId="537E2DBE" w:rsidR="00B95925" w:rsidRPr="001D3B9C" w:rsidRDefault="00B95925" w:rsidP="00C01516">
            <w:pPr>
              <w:pStyle w:val="NoSpacing"/>
              <w:jc w:val="both"/>
              <w:rPr>
                <w:rFonts w:ascii="Arial" w:hAnsi="Arial" w:cs="Arial"/>
                <w:b/>
              </w:rPr>
            </w:pPr>
            <w:r w:rsidRPr="001D3B9C">
              <w:rPr>
                <w:rFonts w:ascii="Arial" w:hAnsi="Arial" w:cs="Arial"/>
                <w:i/>
              </w:rPr>
              <w:t>The assessment has not identified any potential for discrimination or adverse impact and all opportunities to advance equality have been taken.</w:t>
            </w:r>
          </w:p>
        </w:tc>
        <w:tc>
          <w:tcPr>
            <w:tcW w:w="69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F2EB47" w14:textId="7DAD8AAB" w:rsidR="00B95925" w:rsidRPr="001D3B9C" w:rsidRDefault="00C358C5">
            <w:pPr>
              <w:pStyle w:val="NoSpacing"/>
              <w:jc w:val="both"/>
              <w:rPr>
                <w:rFonts w:ascii="Arial" w:hAnsi="Arial" w:cs="Arial"/>
                <w:b/>
              </w:rPr>
            </w:pPr>
            <w:r>
              <w:rPr>
                <w:rFonts w:ascii="Arial" w:hAnsi="Arial" w:cs="Arial"/>
                <w:b/>
              </w:rPr>
              <w:t xml:space="preserve">No major change required. </w:t>
            </w:r>
          </w:p>
        </w:tc>
      </w:tr>
      <w:tr w:rsidR="00B95925" w:rsidRPr="001D3B9C" w14:paraId="5FE3AAB3" w14:textId="77777777" w:rsidTr="001756C0">
        <w:tc>
          <w:tcPr>
            <w:tcW w:w="699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C12235" w14:textId="47CC29D3" w:rsidR="00DF584F" w:rsidRDefault="00B95925">
            <w:pPr>
              <w:pStyle w:val="NoSpacing"/>
              <w:tabs>
                <w:tab w:val="left" w:pos="2340"/>
              </w:tabs>
              <w:jc w:val="both"/>
              <w:rPr>
                <w:rFonts w:ascii="Arial" w:hAnsi="Arial" w:cs="Arial"/>
                <w:b/>
              </w:rPr>
            </w:pPr>
            <w:proofErr w:type="gramStart"/>
            <w:r w:rsidRPr="001D3B9C">
              <w:rPr>
                <w:rFonts w:ascii="Arial" w:hAnsi="Arial" w:cs="Arial"/>
                <w:b/>
              </w:rPr>
              <w:t>Make adjustments to</w:t>
            </w:r>
            <w:proofErr w:type="gramEnd"/>
            <w:r w:rsidRPr="001D3B9C">
              <w:rPr>
                <w:rFonts w:ascii="Arial" w:hAnsi="Arial" w:cs="Arial"/>
                <w:b/>
              </w:rPr>
              <w:t xml:space="preserve"> remove barriers or to better advance equality </w:t>
            </w:r>
          </w:p>
          <w:p w14:paraId="139DCA09" w14:textId="77777777" w:rsidR="002B44F1" w:rsidRPr="00C01516" w:rsidRDefault="002B44F1">
            <w:pPr>
              <w:pStyle w:val="NoSpacing"/>
              <w:tabs>
                <w:tab w:val="left" w:pos="2340"/>
              </w:tabs>
              <w:jc w:val="both"/>
              <w:rPr>
                <w:rFonts w:ascii="Arial" w:hAnsi="Arial" w:cs="Arial"/>
                <w:b/>
              </w:rPr>
            </w:pPr>
          </w:p>
          <w:p w14:paraId="39AD0B3A" w14:textId="10A1DF05" w:rsidR="00B95925" w:rsidRPr="001D3B9C" w:rsidRDefault="00B95925" w:rsidP="00C01516">
            <w:pPr>
              <w:pStyle w:val="NoSpacing"/>
              <w:tabs>
                <w:tab w:val="left" w:pos="2340"/>
              </w:tabs>
              <w:jc w:val="both"/>
              <w:rPr>
                <w:rFonts w:ascii="Arial" w:hAnsi="Arial" w:cs="Arial"/>
              </w:rPr>
            </w:pPr>
            <w:r w:rsidRPr="001D3B9C">
              <w:rPr>
                <w:rFonts w:ascii="Arial" w:hAnsi="Arial" w:cs="Arial"/>
                <w:i/>
              </w:rPr>
              <w:t>Note the adjustments that will be made to remove barriers identified by the assessment or to better advance equality.</w:t>
            </w:r>
          </w:p>
        </w:tc>
        <w:tc>
          <w:tcPr>
            <w:tcW w:w="69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9471EF" w14:textId="475A3F6B" w:rsidR="00B95925" w:rsidRPr="001D3B9C" w:rsidRDefault="003D7088">
            <w:pPr>
              <w:pStyle w:val="NoSpacing"/>
              <w:jc w:val="both"/>
              <w:rPr>
                <w:rFonts w:ascii="Arial" w:hAnsi="Arial" w:cs="Arial"/>
                <w:b/>
              </w:rPr>
            </w:pPr>
            <w:r>
              <w:rPr>
                <w:rFonts w:ascii="Arial" w:hAnsi="Arial" w:cs="Arial"/>
                <w:b/>
              </w:rPr>
              <w:t xml:space="preserve">N/A </w:t>
            </w:r>
          </w:p>
        </w:tc>
      </w:tr>
      <w:tr w:rsidR="00B95925" w:rsidRPr="001D3B9C" w14:paraId="44963D20" w14:textId="77777777" w:rsidTr="001756C0">
        <w:tc>
          <w:tcPr>
            <w:tcW w:w="699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BE491E" w14:textId="77E213B0" w:rsidR="00DF584F" w:rsidRDefault="00B95925">
            <w:pPr>
              <w:pStyle w:val="NoSpacing"/>
              <w:jc w:val="both"/>
              <w:rPr>
                <w:rFonts w:ascii="Arial" w:hAnsi="Arial" w:cs="Arial"/>
                <w:b/>
              </w:rPr>
            </w:pPr>
            <w:r w:rsidRPr="001D3B9C">
              <w:rPr>
                <w:rFonts w:ascii="Arial" w:hAnsi="Arial" w:cs="Arial"/>
                <w:b/>
              </w:rPr>
              <w:t xml:space="preserve">Continue despite having identified some potential for adverse impacts or missed opportunities to advance equality </w:t>
            </w:r>
          </w:p>
          <w:p w14:paraId="62ADC29A" w14:textId="77777777" w:rsidR="002B44F1" w:rsidRDefault="002B44F1">
            <w:pPr>
              <w:pStyle w:val="NoSpacing"/>
              <w:jc w:val="both"/>
              <w:rPr>
                <w:rFonts w:ascii="Arial" w:hAnsi="Arial" w:cs="Arial"/>
                <w:b/>
              </w:rPr>
            </w:pPr>
          </w:p>
          <w:p w14:paraId="3BA86ED8" w14:textId="5DBF9191" w:rsidR="00B95925" w:rsidRPr="001D3B9C" w:rsidRDefault="00B95925" w:rsidP="00C01516">
            <w:pPr>
              <w:pStyle w:val="NoSpacing"/>
              <w:jc w:val="both"/>
              <w:rPr>
                <w:rFonts w:ascii="Arial" w:hAnsi="Arial" w:cs="Arial"/>
                <w:b/>
              </w:rPr>
            </w:pPr>
            <w:r w:rsidRPr="001D3B9C">
              <w:rPr>
                <w:rFonts w:ascii="Arial" w:hAnsi="Arial" w:cs="Arial"/>
                <w:i/>
              </w:rPr>
              <w:lastRenderedPageBreak/>
              <w:t>Note the steps that will be taken to reduce or mitigate the adverse impacts.</w:t>
            </w:r>
          </w:p>
        </w:tc>
        <w:tc>
          <w:tcPr>
            <w:tcW w:w="69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7E9E92" w14:textId="50BE88BA" w:rsidR="00E13A26" w:rsidRPr="001D3B9C" w:rsidRDefault="003D7088" w:rsidP="00206500">
            <w:pPr>
              <w:pStyle w:val="NoSpacing"/>
              <w:jc w:val="both"/>
              <w:rPr>
                <w:rFonts w:ascii="Arial" w:hAnsi="Arial" w:cs="Arial"/>
                <w:b/>
              </w:rPr>
            </w:pPr>
            <w:r>
              <w:rPr>
                <w:rFonts w:ascii="Arial" w:hAnsi="Arial" w:cs="Arial"/>
                <w:b/>
              </w:rPr>
              <w:lastRenderedPageBreak/>
              <w:t>N/A</w:t>
            </w:r>
          </w:p>
        </w:tc>
      </w:tr>
      <w:tr w:rsidR="00B95925" w:rsidRPr="001D3B9C" w14:paraId="35042909" w14:textId="77777777" w:rsidTr="001756C0">
        <w:tc>
          <w:tcPr>
            <w:tcW w:w="699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B3D8A7" w14:textId="0F07CC6F" w:rsidR="00B95925" w:rsidRDefault="00B95925">
            <w:pPr>
              <w:pStyle w:val="NoSpacing"/>
              <w:jc w:val="both"/>
              <w:rPr>
                <w:rFonts w:ascii="Arial" w:hAnsi="Arial" w:cs="Arial"/>
                <w:b/>
              </w:rPr>
            </w:pPr>
            <w:r w:rsidRPr="001D3B9C">
              <w:rPr>
                <w:rFonts w:ascii="Arial" w:hAnsi="Arial" w:cs="Arial"/>
                <w:b/>
              </w:rPr>
              <w:t>Stop and rethink</w:t>
            </w:r>
          </w:p>
          <w:p w14:paraId="393A7998" w14:textId="77777777" w:rsidR="00DF584F" w:rsidRPr="001D3B9C" w:rsidRDefault="00DF584F">
            <w:pPr>
              <w:pStyle w:val="NoSpacing"/>
              <w:jc w:val="both"/>
              <w:rPr>
                <w:rFonts w:ascii="Arial" w:hAnsi="Arial" w:cs="Arial"/>
                <w:b/>
              </w:rPr>
            </w:pPr>
          </w:p>
          <w:p w14:paraId="588B6B50" w14:textId="77777777" w:rsidR="00B95925" w:rsidRPr="001D3B9C" w:rsidRDefault="00B95925">
            <w:pPr>
              <w:pStyle w:val="NoSpacing"/>
              <w:jc w:val="both"/>
              <w:rPr>
                <w:rFonts w:ascii="Arial" w:hAnsi="Arial" w:cs="Arial"/>
              </w:rPr>
            </w:pPr>
            <w:r w:rsidRPr="001D3B9C">
              <w:rPr>
                <w:rFonts w:ascii="Arial" w:hAnsi="Arial" w:cs="Arial"/>
                <w:i/>
              </w:rPr>
              <w:t>The</w:t>
            </w:r>
            <w:r w:rsidRPr="001D3B9C">
              <w:rPr>
                <w:rFonts w:ascii="Arial" w:hAnsi="Arial" w:cs="Arial"/>
                <w:b/>
                <w:i/>
              </w:rPr>
              <w:t xml:space="preserve"> </w:t>
            </w:r>
            <w:r w:rsidRPr="001D3B9C">
              <w:rPr>
                <w:rFonts w:ascii="Arial" w:hAnsi="Arial" w:cs="Arial"/>
                <w:i/>
              </w:rPr>
              <w:t>assessment shows actual or potential unlawful discrimination.  Note the action to be taken to stop and / or rethink the project</w:t>
            </w:r>
            <w:r w:rsidRPr="001D3B9C">
              <w:rPr>
                <w:rFonts w:ascii="Arial" w:hAnsi="Arial" w:cs="Arial"/>
              </w:rPr>
              <w:t>.</w:t>
            </w:r>
          </w:p>
          <w:p w14:paraId="77A0C46F" w14:textId="77777777" w:rsidR="00B95925" w:rsidRPr="001D3B9C" w:rsidRDefault="00B95925">
            <w:pPr>
              <w:pStyle w:val="NoSpacing"/>
              <w:jc w:val="both"/>
              <w:rPr>
                <w:rFonts w:ascii="Arial" w:hAnsi="Arial" w:cs="Arial"/>
                <w:b/>
              </w:rPr>
            </w:pPr>
          </w:p>
        </w:tc>
        <w:tc>
          <w:tcPr>
            <w:tcW w:w="69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9CD780" w14:textId="499E98FB" w:rsidR="00B95925" w:rsidRPr="003D7088" w:rsidRDefault="003D7088">
            <w:pPr>
              <w:pStyle w:val="NoSpacing"/>
              <w:jc w:val="both"/>
              <w:rPr>
                <w:rFonts w:ascii="Arial" w:hAnsi="Arial" w:cs="Arial"/>
                <w:b/>
              </w:rPr>
            </w:pPr>
            <w:r w:rsidRPr="003D7088">
              <w:rPr>
                <w:rFonts w:ascii="Arial" w:hAnsi="Arial" w:cs="Arial"/>
                <w:b/>
              </w:rPr>
              <w:t>N/A</w:t>
            </w:r>
          </w:p>
        </w:tc>
      </w:tr>
    </w:tbl>
    <w:p w14:paraId="7BA70885" w14:textId="77777777" w:rsidR="00B95925" w:rsidRPr="001D3B9C" w:rsidRDefault="00B95925" w:rsidP="00B95925">
      <w:pPr>
        <w:pStyle w:val="NoSpacing"/>
        <w:jc w:val="both"/>
        <w:rPr>
          <w:rFonts w:ascii="Arial" w:hAnsi="Arial" w:cs="Arial"/>
        </w:rPr>
      </w:pPr>
    </w:p>
    <w:tbl>
      <w:tblPr>
        <w:tblStyle w:val="TableGrid"/>
        <w:tblW w:w="13980" w:type="dxa"/>
        <w:tblInd w:w="0" w:type="dxa"/>
        <w:tblLayout w:type="fixed"/>
        <w:tblLook w:val="04A0" w:firstRow="1" w:lastRow="0" w:firstColumn="1" w:lastColumn="0" w:noHBand="0" w:noVBand="1"/>
      </w:tblPr>
      <w:tblGrid>
        <w:gridCol w:w="13980"/>
      </w:tblGrid>
      <w:tr w:rsidR="00B95925" w:rsidRPr="001D3B9C" w14:paraId="38811DC0" w14:textId="77777777" w:rsidTr="00B95925">
        <w:tc>
          <w:tcPr>
            <w:tcW w:w="1397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906168" w14:textId="135789B3" w:rsidR="00B95925" w:rsidRDefault="00B95925">
            <w:pPr>
              <w:pStyle w:val="NoSpacing"/>
              <w:jc w:val="both"/>
              <w:rPr>
                <w:rFonts w:ascii="Arial" w:hAnsi="Arial" w:cs="Arial"/>
                <w:b/>
              </w:rPr>
            </w:pPr>
            <w:r w:rsidRPr="001D3B9C">
              <w:rPr>
                <w:rFonts w:ascii="Arial" w:hAnsi="Arial" w:cs="Arial"/>
                <w:b/>
              </w:rPr>
              <w:t>How will the actual impact of the project</w:t>
            </w:r>
            <w:r w:rsidR="001E15FD" w:rsidRPr="001D3B9C">
              <w:rPr>
                <w:rFonts w:ascii="Arial" w:hAnsi="Arial" w:cs="Arial"/>
                <w:b/>
              </w:rPr>
              <w:t>, policy or practice</w:t>
            </w:r>
            <w:r w:rsidRPr="001D3B9C">
              <w:rPr>
                <w:rFonts w:ascii="Arial" w:hAnsi="Arial" w:cs="Arial"/>
                <w:b/>
              </w:rPr>
              <w:t xml:space="preserve"> be monitored once it has been implemented?</w:t>
            </w:r>
          </w:p>
          <w:p w14:paraId="204A4476" w14:textId="77777777" w:rsidR="00DF584F" w:rsidRPr="001D3B9C" w:rsidRDefault="00DF584F">
            <w:pPr>
              <w:pStyle w:val="NoSpacing"/>
              <w:jc w:val="both"/>
              <w:rPr>
                <w:rFonts w:ascii="Arial" w:hAnsi="Arial" w:cs="Arial"/>
                <w:b/>
              </w:rPr>
            </w:pPr>
          </w:p>
          <w:p w14:paraId="51FED6BE" w14:textId="391054C2" w:rsidR="001E10A8" w:rsidRPr="001D3B9C" w:rsidRDefault="001E10A8">
            <w:pPr>
              <w:pStyle w:val="NoSpacing"/>
              <w:jc w:val="both"/>
              <w:rPr>
                <w:rFonts w:ascii="Arial" w:hAnsi="Arial" w:cs="Arial"/>
                <w:b/>
              </w:rPr>
            </w:pPr>
          </w:p>
        </w:tc>
      </w:tr>
      <w:tr w:rsidR="00B95925" w:rsidRPr="001D3B9C" w14:paraId="12C2F150" w14:textId="77777777" w:rsidTr="0086227C">
        <w:tc>
          <w:tcPr>
            <w:tcW w:w="13973" w:type="dxa"/>
            <w:tcBorders>
              <w:top w:val="single" w:sz="4" w:space="0" w:color="auto"/>
              <w:left w:val="single" w:sz="4" w:space="0" w:color="auto"/>
              <w:bottom w:val="single" w:sz="4" w:space="0" w:color="auto"/>
              <w:right w:val="single" w:sz="4" w:space="0" w:color="auto"/>
            </w:tcBorders>
          </w:tcPr>
          <w:p w14:paraId="7826E353" w14:textId="1E0AC231" w:rsidR="00C358C5" w:rsidRPr="00C01516" w:rsidRDefault="00C358C5" w:rsidP="0086227C">
            <w:pPr>
              <w:pStyle w:val="NoSpacing"/>
              <w:jc w:val="both"/>
              <w:rPr>
                <w:rFonts w:ascii="Arial" w:hAnsi="Arial" w:cs="Arial"/>
              </w:rPr>
            </w:pPr>
            <w:r w:rsidRPr="00C01516">
              <w:rPr>
                <w:rFonts w:ascii="Arial" w:hAnsi="Arial" w:cs="Arial"/>
              </w:rPr>
              <w:t xml:space="preserve">This policy will be </w:t>
            </w:r>
            <w:r w:rsidR="00F23EE3" w:rsidRPr="00C01516">
              <w:rPr>
                <w:rFonts w:ascii="Arial" w:hAnsi="Arial" w:cs="Arial"/>
              </w:rPr>
              <w:t>monitored</w:t>
            </w:r>
            <w:r w:rsidRPr="00C01516">
              <w:rPr>
                <w:rFonts w:ascii="Arial" w:hAnsi="Arial" w:cs="Arial"/>
              </w:rPr>
              <w:t xml:space="preserve"> </w:t>
            </w:r>
            <w:r w:rsidR="00206500" w:rsidRPr="00C01516">
              <w:rPr>
                <w:rFonts w:ascii="Arial" w:hAnsi="Arial" w:cs="Arial"/>
              </w:rPr>
              <w:t>annually by the Student Success Team: Careers and Employability and formally reviewed in line with the university’s schedule for policy review</w:t>
            </w:r>
            <w:r w:rsidR="00FA4F81" w:rsidRPr="00C01516">
              <w:rPr>
                <w:rFonts w:ascii="Arial" w:hAnsi="Arial" w:cs="Arial"/>
              </w:rPr>
              <w:t>, every 3 years</w:t>
            </w:r>
            <w:r w:rsidR="00206500" w:rsidRPr="00C01516">
              <w:rPr>
                <w:rFonts w:ascii="Arial" w:hAnsi="Arial" w:cs="Arial"/>
              </w:rPr>
              <w:t xml:space="preserve">.  </w:t>
            </w:r>
          </w:p>
          <w:p w14:paraId="21B5CFA4" w14:textId="5DB63AA9" w:rsidR="00C358C5" w:rsidRPr="00206500" w:rsidRDefault="00C358C5" w:rsidP="0086227C">
            <w:pPr>
              <w:pStyle w:val="NoSpacing"/>
              <w:jc w:val="both"/>
              <w:rPr>
                <w:rFonts w:ascii="Arial" w:hAnsi="Arial" w:cs="Arial"/>
                <w:i/>
                <w:iCs/>
              </w:rPr>
            </w:pPr>
          </w:p>
          <w:p w14:paraId="1EE35866" w14:textId="77777777" w:rsidR="00B95925" w:rsidRPr="00206500" w:rsidRDefault="00B95925" w:rsidP="00206500">
            <w:pPr>
              <w:pStyle w:val="NoSpacing"/>
              <w:jc w:val="both"/>
              <w:rPr>
                <w:rFonts w:ascii="Arial" w:hAnsi="Arial" w:cs="Arial"/>
                <w:b/>
              </w:rPr>
            </w:pPr>
          </w:p>
        </w:tc>
      </w:tr>
    </w:tbl>
    <w:p w14:paraId="7B5BA9D6" w14:textId="0C3214ED" w:rsidR="00593DE5" w:rsidRPr="001D3B9C" w:rsidRDefault="00593DE5" w:rsidP="00AE693A">
      <w:pPr>
        <w:shd w:val="clear" w:color="auto" w:fill="FFFFFF" w:themeFill="background1"/>
        <w:rPr>
          <w:rFonts w:ascii="Arial" w:hAnsi="Arial" w:cs="Arial"/>
        </w:rPr>
      </w:pPr>
    </w:p>
    <w:tbl>
      <w:tblPr>
        <w:tblStyle w:val="TableGrid"/>
        <w:tblW w:w="14029" w:type="dxa"/>
        <w:tblInd w:w="0" w:type="dxa"/>
        <w:tblLook w:val="04A0" w:firstRow="1" w:lastRow="0" w:firstColumn="1" w:lastColumn="0" w:noHBand="0" w:noVBand="1"/>
      </w:tblPr>
      <w:tblGrid>
        <w:gridCol w:w="14029"/>
      </w:tblGrid>
      <w:tr w:rsidR="00AF4BE6" w:rsidRPr="001D3B9C" w14:paraId="230496BA" w14:textId="77777777" w:rsidTr="00BB06F2">
        <w:tc>
          <w:tcPr>
            <w:tcW w:w="14029" w:type="dxa"/>
            <w:shd w:val="clear" w:color="auto" w:fill="BDD6EE" w:themeFill="accent1" w:themeFillTint="66"/>
          </w:tcPr>
          <w:p w14:paraId="5DD0C116" w14:textId="77777777" w:rsidR="00AF4BE6" w:rsidRPr="001D3B9C" w:rsidRDefault="00AF4BE6" w:rsidP="00AE693A">
            <w:pPr>
              <w:rPr>
                <w:rFonts w:ascii="Arial" w:hAnsi="Arial" w:cs="Arial"/>
                <w:b/>
                <w:bCs/>
              </w:rPr>
            </w:pPr>
            <w:r w:rsidRPr="001D3B9C">
              <w:rPr>
                <w:rFonts w:ascii="Arial" w:hAnsi="Arial" w:cs="Arial"/>
                <w:b/>
                <w:bCs/>
              </w:rPr>
              <w:t>Publication</w:t>
            </w:r>
          </w:p>
          <w:p w14:paraId="194FBCA4" w14:textId="73E9723F" w:rsidR="00AF4BE6" w:rsidRPr="001D3B9C" w:rsidRDefault="00AF4BE6" w:rsidP="00AE693A">
            <w:pPr>
              <w:rPr>
                <w:rFonts w:ascii="Arial" w:hAnsi="Arial" w:cs="Arial"/>
              </w:rPr>
            </w:pPr>
          </w:p>
        </w:tc>
      </w:tr>
      <w:tr w:rsidR="00AF4BE6" w:rsidRPr="001D3B9C" w14:paraId="4DE99D82" w14:textId="77777777" w:rsidTr="00BB06F2">
        <w:tc>
          <w:tcPr>
            <w:tcW w:w="14029" w:type="dxa"/>
          </w:tcPr>
          <w:p w14:paraId="01F0BA48" w14:textId="71AD00A4" w:rsidR="00AF4BE6" w:rsidRPr="00C01516" w:rsidRDefault="00AF4BE6" w:rsidP="00AE693A">
            <w:pPr>
              <w:rPr>
                <w:rFonts w:ascii="Arial" w:hAnsi="Arial" w:cs="Arial"/>
                <w:color w:val="FF0000"/>
              </w:rPr>
            </w:pPr>
            <w:r w:rsidRPr="00C01516">
              <w:rPr>
                <w:rFonts w:ascii="Arial" w:hAnsi="Arial" w:cs="Arial"/>
              </w:rPr>
              <w:t>This Equality Impact Assessment will be published</w:t>
            </w:r>
            <w:r w:rsidR="00C01516" w:rsidRPr="00C01516">
              <w:rPr>
                <w:rFonts w:ascii="Arial" w:hAnsi="Arial" w:cs="Arial"/>
              </w:rPr>
              <w:t xml:space="preserve"> bilingually</w:t>
            </w:r>
            <w:r w:rsidRPr="00C01516">
              <w:rPr>
                <w:rFonts w:ascii="Arial" w:hAnsi="Arial" w:cs="Arial"/>
              </w:rPr>
              <w:t xml:space="preserve"> </w:t>
            </w:r>
            <w:r w:rsidR="00206500" w:rsidRPr="00C01516">
              <w:rPr>
                <w:rFonts w:ascii="Arial" w:hAnsi="Arial" w:cs="Arial"/>
              </w:rPr>
              <w:t>on</w:t>
            </w:r>
            <w:r w:rsidR="00C01516" w:rsidRPr="00C01516">
              <w:rPr>
                <w:rFonts w:ascii="Arial" w:hAnsi="Arial" w:cs="Arial"/>
              </w:rPr>
              <w:t xml:space="preserve"> the Bangor University webpages and</w:t>
            </w:r>
            <w:r w:rsidR="00206500" w:rsidRPr="00C01516">
              <w:rPr>
                <w:rFonts w:ascii="Arial" w:hAnsi="Arial" w:cs="Arial"/>
              </w:rPr>
              <w:t xml:space="preserve"> </w:t>
            </w:r>
            <w:r w:rsidR="00F23EE3" w:rsidRPr="00C01516">
              <w:rPr>
                <w:rFonts w:ascii="Arial" w:hAnsi="Arial" w:cs="Arial"/>
              </w:rPr>
              <w:t>is available i</w:t>
            </w:r>
            <w:r w:rsidR="00206500" w:rsidRPr="00C01516">
              <w:rPr>
                <w:rFonts w:ascii="Arial" w:hAnsi="Arial" w:cs="Arial"/>
              </w:rPr>
              <w:t xml:space="preserve">n print upon request. </w:t>
            </w:r>
          </w:p>
          <w:p w14:paraId="02172B6D" w14:textId="47401EF7" w:rsidR="001E10A8" w:rsidRPr="001D3B9C" w:rsidRDefault="001E10A8" w:rsidP="00AE693A">
            <w:pPr>
              <w:rPr>
                <w:rFonts w:ascii="Arial" w:hAnsi="Arial" w:cs="Arial"/>
              </w:rPr>
            </w:pPr>
          </w:p>
        </w:tc>
      </w:tr>
    </w:tbl>
    <w:p w14:paraId="78598DA1" w14:textId="77777777" w:rsidR="00AE693A" w:rsidRPr="001D3B9C" w:rsidRDefault="00AE693A" w:rsidP="00AE693A">
      <w:pPr>
        <w:shd w:val="clear" w:color="auto" w:fill="FFFFFF" w:themeFill="background1"/>
        <w:rPr>
          <w:rFonts w:ascii="Arial" w:hAnsi="Arial" w:cs="Arial"/>
        </w:rPr>
      </w:pPr>
    </w:p>
    <w:sectPr w:rsidR="00AE693A" w:rsidRPr="001D3B9C" w:rsidSect="00C76ED4">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D8953" w14:textId="77777777" w:rsidR="007F0FBA" w:rsidRDefault="007F0FBA" w:rsidP="00993938">
      <w:pPr>
        <w:spacing w:after="0" w:line="240" w:lineRule="auto"/>
      </w:pPr>
      <w:r>
        <w:separator/>
      </w:r>
    </w:p>
  </w:endnote>
  <w:endnote w:type="continuationSeparator" w:id="0">
    <w:p w14:paraId="098C25A4" w14:textId="77777777" w:rsidR="007F0FBA" w:rsidRDefault="007F0FBA" w:rsidP="0099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56F7" w14:textId="77777777" w:rsidR="00993938" w:rsidRPr="001756C0" w:rsidRDefault="00993938">
    <w:pPr>
      <w:pStyle w:val="Footer"/>
      <w:jc w:val="center"/>
      <w:rPr>
        <w:color w:val="2E74B5" w:themeColor="accent1" w:themeShade="BF"/>
        <w:sz w:val="16"/>
        <w:szCs w:val="16"/>
      </w:rPr>
    </w:pPr>
    <w:r w:rsidRPr="001756C0">
      <w:rPr>
        <w:color w:val="2E74B5" w:themeColor="accent1" w:themeShade="BF"/>
        <w:sz w:val="16"/>
        <w:szCs w:val="16"/>
      </w:rPr>
      <w:t xml:space="preserve">Page </w:t>
    </w:r>
    <w:r w:rsidRPr="001756C0">
      <w:rPr>
        <w:color w:val="2E74B5" w:themeColor="accent1" w:themeShade="BF"/>
        <w:sz w:val="16"/>
        <w:szCs w:val="16"/>
      </w:rPr>
      <w:fldChar w:fldCharType="begin"/>
    </w:r>
    <w:r w:rsidRPr="001756C0">
      <w:rPr>
        <w:color w:val="2E74B5" w:themeColor="accent1" w:themeShade="BF"/>
        <w:sz w:val="16"/>
        <w:szCs w:val="16"/>
      </w:rPr>
      <w:instrText xml:space="preserve"> PAGE  \* Arabic  \* MERGEFORMAT </w:instrText>
    </w:r>
    <w:r w:rsidRPr="001756C0">
      <w:rPr>
        <w:color w:val="2E74B5" w:themeColor="accent1" w:themeShade="BF"/>
        <w:sz w:val="16"/>
        <w:szCs w:val="16"/>
      </w:rPr>
      <w:fldChar w:fldCharType="separate"/>
    </w:r>
    <w:r w:rsidR="00142C46" w:rsidRPr="001756C0">
      <w:rPr>
        <w:noProof/>
        <w:color w:val="2E74B5" w:themeColor="accent1" w:themeShade="BF"/>
        <w:sz w:val="16"/>
        <w:szCs w:val="16"/>
      </w:rPr>
      <w:t>3</w:t>
    </w:r>
    <w:r w:rsidRPr="001756C0">
      <w:rPr>
        <w:color w:val="2E74B5" w:themeColor="accent1" w:themeShade="BF"/>
        <w:sz w:val="16"/>
        <w:szCs w:val="16"/>
      </w:rPr>
      <w:fldChar w:fldCharType="end"/>
    </w:r>
    <w:r w:rsidRPr="001756C0">
      <w:rPr>
        <w:color w:val="2E74B5" w:themeColor="accent1" w:themeShade="BF"/>
        <w:sz w:val="16"/>
        <w:szCs w:val="16"/>
      </w:rPr>
      <w:t xml:space="preserve"> of </w:t>
    </w:r>
    <w:r w:rsidRPr="001756C0">
      <w:rPr>
        <w:color w:val="2E74B5" w:themeColor="accent1" w:themeShade="BF"/>
        <w:sz w:val="16"/>
        <w:szCs w:val="16"/>
      </w:rPr>
      <w:fldChar w:fldCharType="begin"/>
    </w:r>
    <w:r w:rsidRPr="001756C0">
      <w:rPr>
        <w:color w:val="2E74B5" w:themeColor="accent1" w:themeShade="BF"/>
        <w:sz w:val="16"/>
        <w:szCs w:val="16"/>
      </w:rPr>
      <w:instrText xml:space="preserve"> NUMPAGES  \* Arabic  \* MERGEFORMAT </w:instrText>
    </w:r>
    <w:r w:rsidRPr="001756C0">
      <w:rPr>
        <w:color w:val="2E74B5" w:themeColor="accent1" w:themeShade="BF"/>
        <w:sz w:val="16"/>
        <w:szCs w:val="16"/>
      </w:rPr>
      <w:fldChar w:fldCharType="separate"/>
    </w:r>
    <w:r w:rsidR="00142C46" w:rsidRPr="001756C0">
      <w:rPr>
        <w:noProof/>
        <w:color w:val="2E74B5" w:themeColor="accent1" w:themeShade="BF"/>
        <w:sz w:val="16"/>
        <w:szCs w:val="16"/>
      </w:rPr>
      <w:t>3</w:t>
    </w:r>
    <w:r w:rsidRPr="001756C0">
      <w:rPr>
        <w:color w:val="2E74B5" w:themeColor="accent1" w:themeShade="BF"/>
        <w:sz w:val="16"/>
        <w:szCs w:val="16"/>
      </w:rPr>
      <w:fldChar w:fldCharType="end"/>
    </w:r>
  </w:p>
  <w:p w14:paraId="6DD40131" w14:textId="77777777" w:rsidR="00993938" w:rsidRDefault="00993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90A7" w14:textId="77777777" w:rsidR="007F0FBA" w:rsidRDefault="007F0FBA" w:rsidP="00993938">
      <w:pPr>
        <w:spacing w:after="0" w:line="240" w:lineRule="auto"/>
      </w:pPr>
      <w:r>
        <w:separator/>
      </w:r>
    </w:p>
  </w:footnote>
  <w:footnote w:type="continuationSeparator" w:id="0">
    <w:p w14:paraId="5413F19B" w14:textId="77777777" w:rsidR="007F0FBA" w:rsidRDefault="007F0FBA" w:rsidP="00993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800"/>
    <w:multiLevelType w:val="hybridMultilevel"/>
    <w:tmpl w:val="E31099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C3219F4"/>
    <w:multiLevelType w:val="hybridMultilevel"/>
    <w:tmpl w:val="D228F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10016"/>
    <w:multiLevelType w:val="hybridMultilevel"/>
    <w:tmpl w:val="01B8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A71220"/>
    <w:multiLevelType w:val="hybridMultilevel"/>
    <w:tmpl w:val="614E4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215C9E"/>
    <w:multiLevelType w:val="hybridMultilevel"/>
    <w:tmpl w:val="D8E8BA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79921E20"/>
    <w:multiLevelType w:val="hybridMultilevel"/>
    <w:tmpl w:val="D6E6F0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16413690">
    <w:abstractNumId w:val="0"/>
  </w:num>
  <w:num w:numId="2" w16cid:durableId="733554106">
    <w:abstractNumId w:val="4"/>
  </w:num>
  <w:num w:numId="3" w16cid:durableId="478232448">
    <w:abstractNumId w:val="5"/>
  </w:num>
  <w:num w:numId="4" w16cid:durableId="1960794925">
    <w:abstractNumId w:val="0"/>
  </w:num>
  <w:num w:numId="5" w16cid:durableId="780882410">
    <w:abstractNumId w:val="3"/>
  </w:num>
  <w:num w:numId="6" w16cid:durableId="1141120059">
    <w:abstractNumId w:val="2"/>
  </w:num>
  <w:num w:numId="7" w16cid:durableId="1707827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059"/>
    <w:rsid w:val="00020779"/>
    <w:rsid w:val="000300E9"/>
    <w:rsid w:val="000738EA"/>
    <w:rsid w:val="0008062A"/>
    <w:rsid w:val="000B0259"/>
    <w:rsid w:val="001134DB"/>
    <w:rsid w:val="00142C46"/>
    <w:rsid w:val="001756C0"/>
    <w:rsid w:val="001C284D"/>
    <w:rsid w:val="001D3B9C"/>
    <w:rsid w:val="001E10A8"/>
    <w:rsid w:val="001E15FD"/>
    <w:rsid w:val="00206500"/>
    <w:rsid w:val="00225C1A"/>
    <w:rsid w:val="00253950"/>
    <w:rsid w:val="00276719"/>
    <w:rsid w:val="00280B94"/>
    <w:rsid w:val="002A05E7"/>
    <w:rsid w:val="002A6AD0"/>
    <w:rsid w:val="002B44F1"/>
    <w:rsid w:val="002B53AE"/>
    <w:rsid w:val="00314C42"/>
    <w:rsid w:val="00355BED"/>
    <w:rsid w:val="0037358A"/>
    <w:rsid w:val="003926BA"/>
    <w:rsid w:val="003931CA"/>
    <w:rsid w:val="003D5CEA"/>
    <w:rsid w:val="003D7088"/>
    <w:rsid w:val="00404D0A"/>
    <w:rsid w:val="00405B87"/>
    <w:rsid w:val="00451B28"/>
    <w:rsid w:val="004535DD"/>
    <w:rsid w:val="0046401F"/>
    <w:rsid w:val="004860A1"/>
    <w:rsid w:val="004D3F62"/>
    <w:rsid w:val="00593DE5"/>
    <w:rsid w:val="005C28F6"/>
    <w:rsid w:val="006051F8"/>
    <w:rsid w:val="00626DF3"/>
    <w:rsid w:val="00642A35"/>
    <w:rsid w:val="00655BEA"/>
    <w:rsid w:val="00662697"/>
    <w:rsid w:val="006666BC"/>
    <w:rsid w:val="006A2C2F"/>
    <w:rsid w:val="006C74C0"/>
    <w:rsid w:val="006F4A85"/>
    <w:rsid w:val="00786E53"/>
    <w:rsid w:val="007A2336"/>
    <w:rsid w:val="007F0FBA"/>
    <w:rsid w:val="008176A7"/>
    <w:rsid w:val="00846F97"/>
    <w:rsid w:val="0086227C"/>
    <w:rsid w:val="00864FA9"/>
    <w:rsid w:val="00867B92"/>
    <w:rsid w:val="00867D1D"/>
    <w:rsid w:val="008D3ADF"/>
    <w:rsid w:val="00926AA9"/>
    <w:rsid w:val="00981DB3"/>
    <w:rsid w:val="00993938"/>
    <w:rsid w:val="009C7F78"/>
    <w:rsid w:val="00A530B7"/>
    <w:rsid w:val="00A61855"/>
    <w:rsid w:val="00A73C16"/>
    <w:rsid w:val="00AE693A"/>
    <w:rsid w:val="00AF4BE6"/>
    <w:rsid w:val="00B95925"/>
    <w:rsid w:val="00BB06F2"/>
    <w:rsid w:val="00C01516"/>
    <w:rsid w:val="00C04E6F"/>
    <w:rsid w:val="00C11850"/>
    <w:rsid w:val="00C358C5"/>
    <w:rsid w:val="00C445C8"/>
    <w:rsid w:val="00C7273E"/>
    <w:rsid w:val="00C76ED4"/>
    <w:rsid w:val="00C9720D"/>
    <w:rsid w:val="00CB69F8"/>
    <w:rsid w:val="00CC0D69"/>
    <w:rsid w:val="00CE56D8"/>
    <w:rsid w:val="00D21DF0"/>
    <w:rsid w:val="00D564A3"/>
    <w:rsid w:val="00DA72A0"/>
    <w:rsid w:val="00DC79A3"/>
    <w:rsid w:val="00DF584F"/>
    <w:rsid w:val="00E1034F"/>
    <w:rsid w:val="00E13A26"/>
    <w:rsid w:val="00E15727"/>
    <w:rsid w:val="00E2224D"/>
    <w:rsid w:val="00E3756C"/>
    <w:rsid w:val="00E4684D"/>
    <w:rsid w:val="00E719C7"/>
    <w:rsid w:val="00ED7741"/>
    <w:rsid w:val="00EE073C"/>
    <w:rsid w:val="00EE7E49"/>
    <w:rsid w:val="00F23EE3"/>
    <w:rsid w:val="00F416DB"/>
    <w:rsid w:val="00F41A7D"/>
    <w:rsid w:val="00F56EEA"/>
    <w:rsid w:val="00F85059"/>
    <w:rsid w:val="00F9244C"/>
    <w:rsid w:val="00FA30D0"/>
    <w:rsid w:val="00FA4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20BC"/>
  <w15:chartTrackingRefBased/>
  <w15:docId w15:val="{7E92CB71-C9EB-490D-B7B1-7FBA0964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D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5925"/>
    <w:pPr>
      <w:spacing w:after="0" w:line="240" w:lineRule="auto"/>
    </w:pPr>
  </w:style>
  <w:style w:type="table" w:styleId="TableGrid">
    <w:name w:val="Table Grid"/>
    <w:basedOn w:val="TableNormal"/>
    <w:uiPriority w:val="39"/>
    <w:rsid w:val="00B959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3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938"/>
  </w:style>
  <w:style w:type="paragraph" w:styleId="Footer">
    <w:name w:val="footer"/>
    <w:basedOn w:val="Normal"/>
    <w:link w:val="FooterChar"/>
    <w:uiPriority w:val="99"/>
    <w:unhideWhenUsed/>
    <w:rsid w:val="00993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938"/>
  </w:style>
  <w:style w:type="paragraph" w:styleId="BalloonText">
    <w:name w:val="Balloon Text"/>
    <w:basedOn w:val="Normal"/>
    <w:link w:val="BalloonTextChar"/>
    <w:uiPriority w:val="99"/>
    <w:semiHidden/>
    <w:unhideWhenUsed/>
    <w:rsid w:val="00662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697"/>
    <w:rPr>
      <w:rFonts w:ascii="Segoe UI" w:hAnsi="Segoe UI" w:cs="Segoe UI"/>
      <w:sz w:val="18"/>
      <w:szCs w:val="18"/>
    </w:rPr>
  </w:style>
  <w:style w:type="table" w:customStyle="1" w:styleId="TableGrid1">
    <w:name w:val="Table Grid1"/>
    <w:basedOn w:val="TableNormal"/>
    <w:next w:val="TableGrid"/>
    <w:uiPriority w:val="39"/>
    <w:rsid w:val="00CE5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898">
      <w:bodyDiv w:val="1"/>
      <w:marLeft w:val="0"/>
      <w:marRight w:val="0"/>
      <w:marTop w:val="0"/>
      <w:marBottom w:val="0"/>
      <w:divBdr>
        <w:top w:val="none" w:sz="0" w:space="0" w:color="auto"/>
        <w:left w:val="none" w:sz="0" w:space="0" w:color="auto"/>
        <w:bottom w:val="none" w:sz="0" w:space="0" w:color="auto"/>
        <w:right w:val="none" w:sz="0" w:space="0" w:color="auto"/>
      </w:divBdr>
    </w:div>
    <w:div w:id="208298629">
      <w:bodyDiv w:val="1"/>
      <w:marLeft w:val="0"/>
      <w:marRight w:val="0"/>
      <w:marTop w:val="0"/>
      <w:marBottom w:val="0"/>
      <w:divBdr>
        <w:top w:val="none" w:sz="0" w:space="0" w:color="auto"/>
        <w:left w:val="none" w:sz="0" w:space="0" w:color="auto"/>
        <w:bottom w:val="none" w:sz="0" w:space="0" w:color="auto"/>
        <w:right w:val="none" w:sz="0" w:space="0" w:color="auto"/>
      </w:divBdr>
    </w:div>
    <w:div w:id="256600159">
      <w:bodyDiv w:val="1"/>
      <w:marLeft w:val="0"/>
      <w:marRight w:val="0"/>
      <w:marTop w:val="0"/>
      <w:marBottom w:val="0"/>
      <w:divBdr>
        <w:top w:val="none" w:sz="0" w:space="0" w:color="auto"/>
        <w:left w:val="none" w:sz="0" w:space="0" w:color="auto"/>
        <w:bottom w:val="none" w:sz="0" w:space="0" w:color="auto"/>
        <w:right w:val="none" w:sz="0" w:space="0" w:color="auto"/>
      </w:divBdr>
    </w:div>
    <w:div w:id="271977409">
      <w:bodyDiv w:val="1"/>
      <w:marLeft w:val="0"/>
      <w:marRight w:val="0"/>
      <w:marTop w:val="0"/>
      <w:marBottom w:val="0"/>
      <w:divBdr>
        <w:top w:val="none" w:sz="0" w:space="0" w:color="auto"/>
        <w:left w:val="none" w:sz="0" w:space="0" w:color="auto"/>
        <w:bottom w:val="none" w:sz="0" w:space="0" w:color="auto"/>
        <w:right w:val="none" w:sz="0" w:space="0" w:color="auto"/>
      </w:divBdr>
    </w:div>
    <w:div w:id="283004381">
      <w:bodyDiv w:val="1"/>
      <w:marLeft w:val="0"/>
      <w:marRight w:val="0"/>
      <w:marTop w:val="0"/>
      <w:marBottom w:val="0"/>
      <w:divBdr>
        <w:top w:val="none" w:sz="0" w:space="0" w:color="auto"/>
        <w:left w:val="none" w:sz="0" w:space="0" w:color="auto"/>
        <w:bottom w:val="none" w:sz="0" w:space="0" w:color="auto"/>
        <w:right w:val="none" w:sz="0" w:space="0" w:color="auto"/>
      </w:divBdr>
    </w:div>
    <w:div w:id="312224028">
      <w:bodyDiv w:val="1"/>
      <w:marLeft w:val="0"/>
      <w:marRight w:val="0"/>
      <w:marTop w:val="0"/>
      <w:marBottom w:val="0"/>
      <w:divBdr>
        <w:top w:val="none" w:sz="0" w:space="0" w:color="auto"/>
        <w:left w:val="none" w:sz="0" w:space="0" w:color="auto"/>
        <w:bottom w:val="none" w:sz="0" w:space="0" w:color="auto"/>
        <w:right w:val="none" w:sz="0" w:space="0" w:color="auto"/>
      </w:divBdr>
    </w:div>
    <w:div w:id="372507871">
      <w:bodyDiv w:val="1"/>
      <w:marLeft w:val="0"/>
      <w:marRight w:val="0"/>
      <w:marTop w:val="0"/>
      <w:marBottom w:val="0"/>
      <w:divBdr>
        <w:top w:val="none" w:sz="0" w:space="0" w:color="auto"/>
        <w:left w:val="none" w:sz="0" w:space="0" w:color="auto"/>
        <w:bottom w:val="none" w:sz="0" w:space="0" w:color="auto"/>
        <w:right w:val="none" w:sz="0" w:space="0" w:color="auto"/>
      </w:divBdr>
    </w:div>
    <w:div w:id="452869644">
      <w:bodyDiv w:val="1"/>
      <w:marLeft w:val="0"/>
      <w:marRight w:val="0"/>
      <w:marTop w:val="0"/>
      <w:marBottom w:val="0"/>
      <w:divBdr>
        <w:top w:val="none" w:sz="0" w:space="0" w:color="auto"/>
        <w:left w:val="none" w:sz="0" w:space="0" w:color="auto"/>
        <w:bottom w:val="none" w:sz="0" w:space="0" w:color="auto"/>
        <w:right w:val="none" w:sz="0" w:space="0" w:color="auto"/>
      </w:divBdr>
    </w:div>
    <w:div w:id="564605863">
      <w:bodyDiv w:val="1"/>
      <w:marLeft w:val="0"/>
      <w:marRight w:val="0"/>
      <w:marTop w:val="0"/>
      <w:marBottom w:val="0"/>
      <w:divBdr>
        <w:top w:val="none" w:sz="0" w:space="0" w:color="auto"/>
        <w:left w:val="none" w:sz="0" w:space="0" w:color="auto"/>
        <w:bottom w:val="none" w:sz="0" w:space="0" w:color="auto"/>
        <w:right w:val="none" w:sz="0" w:space="0" w:color="auto"/>
      </w:divBdr>
    </w:div>
    <w:div w:id="737283720">
      <w:bodyDiv w:val="1"/>
      <w:marLeft w:val="0"/>
      <w:marRight w:val="0"/>
      <w:marTop w:val="0"/>
      <w:marBottom w:val="0"/>
      <w:divBdr>
        <w:top w:val="none" w:sz="0" w:space="0" w:color="auto"/>
        <w:left w:val="none" w:sz="0" w:space="0" w:color="auto"/>
        <w:bottom w:val="none" w:sz="0" w:space="0" w:color="auto"/>
        <w:right w:val="none" w:sz="0" w:space="0" w:color="auto"/>
      </w:divBdr>
    </w:div>
    <w:div w:id="1202330206">
      <w:bodyDiv w:val="1"/>
      <w:marLeft w:val="0"/>
      <w:marRight w:val="0"/>
      <w:marTop w:val="0"/>
      <w:marBottom w:val="0"/>
      <w:divBdr>
        <w:top w:val="none" w:sz="0" w:space="0" w:color="auto"/>
        <w:left w:val="none" w:sz="0" w:space="0" w:color="auto"/>
        <w:bottom w:val="none" w:sz="0" w:space="0" w:color="auto"/>
        <w:right w:val="none" w:sz="0" w:space="0" w:color="auto"/>
      </w:divBdr>
    </w:div>
    <w:div w:id="1578898192">
      <w:bodyDiv w:val="1"/>
      <w:marLeft w:val="0"/>
      <w:marRight w:val="0"/>
      <w:marTop w:val="0"/>
      <w:marBottom w:val="0"/>
      <w:divBdr>
        <w:top w:val="none" w:sz="0" w:space="0" w:color="auto"/>
        <w:left w:val="none" w:sz="0" w:space="0" w:color="auto"/>
        <w:bottom w:val="none" w:sz="0" w:space="0" w:color="auto"/>
        <w:right w:val="none" w:sz="0" w:space="0" w:color="auto"/>
      </w:divBdr>
    </w:div>
    <w:div w:id="202443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Pryfysgol Bangor University</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Blackwell</dc:creator>
  <cp:keywords/>
  <dc:description/>
  <cp:lastModifiedBy>Cari Roberts (Staff)</cp:lastModifiedBy>
  <cp:revision>10</cp:revision>
  <cp:lastPrinted>2020-11-03T20:33:00Z</cp:lastPrinted>
  <dcterms:created xsi:type="dcterms:W3CDTF">2025-09-17T11:36:00Z</dcterms:created>
  <dcterms:modified xsi:type="dcterms:W3CDTF">2025-10-07T10:43:00Z</dcterms:modified>
</cp:coreProperties>
</file>