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5246" w14:textId="77777777" w:rsidR="00AF26FA" w:rsidRPr="00A65FDC" w:rsidRDefault="00AF26FA" w:rsidP="00AF26FA">
      <w:pPr>
        <w:rPr>
          <w:rFonts w:asciiTheme="majorHAnsi" w:hAnsiTheme="majorHAnsi"/>
        </w:rPr>
      </w:pPr>
      <w:r>
        <w:rPr>
          <w:rFonts w:asciiTheme="minorHAnsi" w:hAnsiTheme="minorHAnsi"/>
          <w:b/>
          <w:noProof/>
        </w:rPr>
        <w:drawing>
          <wp:anchor distT="0" distB="0" distL="114300" distR="114300" simplePos="0" relativeHeight="251659264" behindDoc="0" locked="0" layoutInCell="1" allowOverlap="1" wp14:anchorId="62DCE917" wp14:editId="40D3ADFE">
            <wp:simplePos x="0" y="0"/>
            <wp:positionH relativeFrom="margin">
              <wp:posOffset>4756785</wp:posOffset>
            </wp:positionH>
            <wp:positionV relativeFrom="margin">
              <wp:posOffset>-234315</wp:posOffset>
            </wp:positionV>
            <wp:extent cx="1320800" cy="1066800"/>
            <wp:effectExtent l="0" t="0" r="0" b="0"/>
            <wp:wrapSquare wrapText="bothSides"/>
            <wp:docPr id="1" name="Picture 1" descr="Bango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gor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800" cy="1066800"/>
                    </a:xfrm>
                    <a:prstGeom prst="rect">
                      <a:avLst/>
                    </a:prstGeom>
                  </pic:spPr>
                </pic:pic>
              </a:graphicData>
            </a:graphic>
            <wp14:sizeRelH relativeFrom="margin">
              <wp14:pctWidth>0</wp14:pctWidth>
            </wp14:sizeRelH>
            <wp14:sizeRelV relativeFrom="margin">
              <wp14:pctHeight>0</wp14:pctHeight>
            </wp14:sizeRelV>
          </wp:anchor>
        </w:drawing>
      </w:r>
    </w:p>
    <w:p w14:paraId="71243DD0" w14:textId="77777777" w:rsidR="00AF26FA" w:rsidRPr="00A65FDC" w:rsidRDefault="00AF26FA" w:rsidP="00AF26FA">
      <w:pPr>
        <w:rPr>
          <w:rFonts w:asciiTheme="majorHAnsi" w:hAnsiTheme="majorHAnsi"/>
        </w:rPr>
      </w:pPr>
    </w:p>
    <w:p w14:paraId="16645478" w14:textId="77777777" w:rsidR="00AF26FA" w:rsidRPr="009B2A47" w:rsidRDefault="00AF26FA" w:rsidP="00AF26FA">
      <w:pPr>
        <w:rPr>
          <w:rFonts w:asciiTheme="minorHAnsi" w:hAnsiTheme="minorHAnsi"/>
          <w:b/>
        </w:rPr>
      </w:pPr>
    </w:p>
    <w:p w14:paraId="22093578" w14:textId="77777777" w:rsidR="00AF26FA" w:rsidRPr="009B2A47" w:rsidRDefault="00AF26FA" w:rsidP="00AF26FA">
      <w:pPr>
        <w:rPr>
          <w:rFonts w:asciiTheme="minorHAnsi" w:hAnsiTheme="minorHAnsi"/>
          <w:b/>
        </w:rPr>
      </w:pPr>
    </w:p>
    <w:p w14:paraId="56550712" w14:textId="77777777" w:rsidR="00AF26FA" w:rsidRPr="009B2A47" w:rsidRDefault="00AF26FA" w:rsidP="00AF26FA">
      <w:pPr>
        <w:rPr>
          <w:rFonts w:asciiTheme="minorHAnsi" w:hAnsiTheme="minorHAnsi"/>
          <w:b/>
        </w:rPr>
      </w:pPr>
    </w:p>
    <w:p w14:paraId="16FD2C83" w14:textId="77777777" w:rsidR="00AF26FA" w:rsidRPr="009B2A47" w:rsidRDefault="00AF26FA" w:rsidP="00AF26FA">
      <w:pPr>
        <w:rPr>
          <w:rFonts w:asciiTheme="minorHAnsi" w:hAnsiTheme="minorHAnsi"/>
          <w:b/>
        </w:rPr>
      </w:pPr>
    </w:p>
    <w:p w14:paraId="09A15172" w14:textId="77777777" w:rsidR="00AF26FA" w:rsidRPr="009B2A47" w:rsidRDefault="00AF26FA" w:rsidP="00AF26FA">
      <w:pPr>
        <w:rPr>
          <w:rFonts w:asciiTheme="minorHAnsi" w:hAnsiTheme="minorHAnsi"/>
          <w:b/>
        </w:rPr>
      </w:pPr>
    </w:p>
    <w:p w14:paraId="0CBE2A34" w14:textId="77777777" w:rsidR="00AF26FA" w:rsidRPr="009B2A47" w:rsidRDefault="00AF26FA" w:rsidP="00AF26FA">
      <w:pPr>
        <w:rPr>
          <w:rFonts w:asciiTheme="minorHAnsi" w:hAnsiTheme="minorHAnsi"/>
          <w:b/>
        </w:rPr>
      </w:pPr>
    </w:p>
    <w:p w14:paraId="5B25226D" w14:textId="77777777" w:rsidR="00AF26FA" w:rsidRDefault="00AF26FA" w:rsidP="00AF26FA">
      <w:pPr>
        <w:ind w:left="0" w:firstLine="0"/>
        <w:rPr>
          <w:rFonts w:asciiTheme="minorHAnsi" w:hAnsiTheme="minorHAnsi"/>
          <w:b/>
        </w:rPr>
      </w:pPr>
    </w:p>
    <w:p w14:paraId="6A1D1A08" w14:textId="3625DF17" w:rsidR="00AF26FA" w:rsidRPr="00892273" w:rsidRDefault="00892273" w:rsidP="00892273">
      <w:pPr>
        <w:ind w:left="0" w:firstLine="0"/>
        <w:jc w:val="center"/>
      </w:pPr>
      <w:r w:rsidRPr="00892273">
        <w:rPr>
          <w:color w:val="000000" w:themeColor="text1"/>
        </w:rPr>
        <w:t>Sustainable Careers &amp; Employability Policy</w:t>
      </w:r>
    </w:p>
    <w:p w14:paraId="3AA684DE" w14:textId="77777777" w:rsidR="00AF26FA" w:rsidRPr="00892273" w:rsidRDefault="00AF26FA" w:rsidP="00AF26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171"/>
        <w:gridCol w:w="4233"/>
        <w:gridCol w:w="1944"/>
      </w:tblGrid>
      <w:tr w:rsidR="00AF26FA" w:rsidRPr="00892273" w14:paraId="08FFAAC4" w14:textId="77777777" w:rsidTr="00AF26FA">
        <w:tc>
          <w:tcPr>
            <w:tcW w:w="819" w:type="dxa"/>
          </w:tcPr>
          <w:p w14:paraId="21440740" w14:textId="77777777" w:rsidR="00AF26FA" w:rsidRPr="00892273" w:rsidRDefault="00AF26FA" w:rsidP="009E77A7">
            <w:r w:rsidRPr="00892273">
              <w:t>Rev</w:t>
            </w:r>
          </w:p>
          <w:p w14:paraId="49D6EA7B" w14:textId="77777777" w:rsidR="00AF26FA" w:rsidRPr="00892273" w:rsidRDefault="00AF26FA" w:rsidP="009E77A7"/>
        </w:tc>
        <w:tc>
          <w:tcPr>
            <w:tcW w:w="2171" w:type="dxa"/>
          </w:tcPr>
          <w:p w14:paraId="54EE4E6B" w14:textId="77777777" w:rsidR="00AF26FA" w:rsidRPr="00892273" w:rsidRDefault="00AF26FA" w:rsidP="009E77A7">
            <w:r w:rsidRPr="00892273">
              <w:t>Date</w:t>
            </w:r>
          </w:p>
        </w:tc>
        <w:tc>
          <w:tcPr>
            <w:tcW w:w="4233" w:type="dxa"/>
          </w:tcPr>
          <w:p w14:paraId="554341A0" w14:textId="77777777" w:rsidR="00AF26FA" w:rsidRPr="00892273" w:rsidRDefault="00AF26FA" w:rsidP="009E77A7">
            <w:r w:rsidRPr="00892273">
              <w:t>Purpose of Issue/Description of Change</w:t>
            </w:r>
          </w:p>
        </w:tc>
        <w:tc>
          <w:tcPr>
            <w:tcW w:w="1944" w:type="dxa"/>
          </w:tcPr>
          <w:p w14:paraId="10398067" w14:textId="77777777" w:rsidR="00AF26FA" w:rsidRPr="00892273" w:rsidRDefault="00AF26FA" w:rsidP="009E77A7">
            <w:r w:rsidRPr="00892273">
              <w:t>Date</w:t>
            </w:r>
          </w:p>
        </w:tc>
      </w:tr>
      <w:tr w:rsidR="00AF26FA" w:rsidRPr="00892273" w14:paraId="599FD0D3" w14:textId="77777777" w:rsidTr="00AF26FA">
        <w:tc>
          <w:tcPr>
            <w:tcW w:w="819" w:type="dxa"/>
          </w:tcPr>
          <w:p w14:paraId="5346CF48" w14:textId="77777777" w:rsidR="00AF26FA" w:rsidRPr="00892273" w:rsidRDefault="00AF26FA" w:rsidP="009E77A7">
            <w:r w:rsidRPr="00892273">
              <w:t>1.</w:t>
            </w:r>
          </w:p>
        </w:tc>
        <w:tc>
          <w:tcPr>
            <w:tcW w:w="2171" w:type="dxa"/>
          </w:tcPr>
          <w:p w14:paraId="5E8AF231" w14:textId="77777777" w:rsidR="00AF26FA" w:rsidRPr="00892273" w:rsidRDefault="00AF26FA" w:rsidP="009E77A7">
            <w:r w:rsidRPr="00892273">
              <w:t>25</w:t>
            </w:r>
            <w:r w:rsidRPr="00892273">
              <w:rPr>
                <w:vertAlign w:val="superscript"/>
              </w:rPr>
              <w:t>th</w:t>
            </w:r>
            <w:r w:rsidRPr="00892273">
              <w:t xml:space="preserve"> September 2025</w:t>
            </w:r>
          </w:p>
          <w:p w14:paraId="137A375E" w14:textId="77777777" w:rsidR="00AF26FA" w:rsidRPr="00892273" w:rsidRDefault="00AF26FA" w:rsidP="009E77A7"/>
        </w:tc>
        <w:tc>
          <w:tcPr>
            <w:tcW w:w="4233" w:type="dxa"/>
          </w:tcPr>
          <w:p w14:paraId="52AAC466" w14:textId="77777777" w:rsidR="00AF26FA" w:rsidRPr="00892273" w:rsidRDefault="00AF26FA" w:rsidP="009E77A7">
            <w:r w:rsidRPr="00892273">
              <w:t xml:space="preserve">Initial Issue </w:t>
            </w:r>
          </w:p>
        </w:tc>
        <w:tc>
          <w:tcPr>
            <w:tcW w:w="1944" w:type="dxa"/>
          </w:tcPr>
          <w:p w14:paraId="7C3D602E" w14:textId="77777777" w:rsidR="00AF26FA" w:rsidRPr="00892273" w:rsidRDefault="00AF26FA" w:rsidP="009E77A7">
            <w:r w:rsidRPr="00892273">
              <w:t>25</w:t>
            </w:r>
            <w:r w:rsidRPr="00892273">
              <w:rPr>
                <w:vertAlign w:val="superscript"/>
              </w:rPr>
              <w:t>th</w:t>
            </w:r>
            <w:r w:rsidRPr="00892273">
              <w:t xml:space="preserve"> September 2025</w:t>
            </w:r>
          </w:p>
        </w:tc>
      </w:tr>
    </w:tbl>
    <w:p w14:paraId="04AD4179" w14:textId="77777777" w:rsidR="00AF26FA" w:rsidRPr="00892273" w:rsidRDefault="00AF26FA" w:rsidP="00AF26FA"/>
    <w:p w14:paraId="05B571D6" w14:textId="77777777" w:rsidR="00AF26FA" w:rsidRPr="00892273" w:rsidRDefault="00AF26FA" w:rsidP="00AF26FA"/>
    <w:p w14:paraId="1CDCDF08" w14:textId="77777777" w:rsidR="00AF26FA" w:rsidRPr="00892273" w:rsidRDefault="00AF26FA" w:rsidP="00AF26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15"/>
        <w:gridCol w:w="2671"/>
        <w:gridCol w:w="1913"/>
      </w:tblGrid>
      <w:tr w:rsidR="00AF26FA" w:rsidRPr="00892273" w14:paraId="17D7AE26" w14:textId="77777777" w:rsidTr="009E77A7">
        <w:tc>
          <w:tcPr>
            <w:tcW w:w="2414" w:type="dxa"/>
          </w:tcPr>
          <w:p w14:paraId="606509E6" w14:textId="77777777" w:rsidR="00AF26FA" w:rsidRPr="00892273" w:rsidRDefault="00AF26FA" w:rsidP="009E77A7">
            <w:r w:rsidRPr="00892273">
              <w:t>Policy Officer</w:t>
            </w:r>
          </w:p>
          <w:p w14:paraId="1F39AE26" w14:textId="77777777" w:rsidR="00AF26FA" w:rsidRPr="00892273" w:rsidRDefault="00AF26FA" w:rsidP="009E77A7"/>
        </w:tc>
        <w:tc>
          <w:tcPr>
            <w:tcW w:w="2416" w:type="dxa"/>
          </w:tcPr>
          <w:p w14:paraId="02DAA95F" w14:textId="77777777" w:rsidR="00AF26FA" w:rsidRPr="00892273" w:rsidRDefault="00AF26FA" w:rsidP="009E77A7">
            <w:r w:rsidRPr="00892273">
              <w:t>Senior Responsible Officer</w:t>
            </w:r>
          </w:p>
          <w:p w14:paraId="19A05284" w14:textId="77777777" w:rsidR="00AF26FA" w:rsidRPr="00892273" w:rsidRDefault="00AF26FA" w:rsidP="009E77A7"/>
        </w:tc>
        <w:tc>
          <w:tcPr>
            <w:tcW w:w="2820" w:type="dxa"/>
          </w:tcPr>
          <w:p w14:paraId="368A63DA" w14:textId="77777777" w:rsidR="00AF26FA" w:rsidRPr="00892273" w:rsidRDefault="00AF26FA" w:rsidP="009E77A7">
            <w:r w:rsidRPr="00892273">
              <w:t>Approved By</w:t>
            </w:r>
          </w:p>
        </w:tc>
        <w:tc>
          <w:tcPr>
            <w:tcW w:w="1978" w:type="dxa"/>
          </w:tcPr>
          <w:p w14:paraId="76258120" w14:textId="77777777" w:rsidR="00AF26FA" w:rsidRPr="00892273" w:rsidRDefault="00AF26FA" w:rsidP="009E77A7">
            <w:r w:rsidRPr="00892273">
              <w:t>Date</w:t>
            </w:r>
          </w:p>
        </w:tc>
      </w:tr>
      <w:tr w:rsidR="00AF26FA" w:rsidRPr="00892273" w14:paraId="4745F01D" w14:textId="77777777" w:rsidTr="009E77A7">
        <w:tc>
          <w:tcPr>
            <w:tcW w:w="2414" w:type="dxa"/>
          </w:tcPr>
          <w:p w14:paraId="4840B5A8" w14:textId="77777777" w:rsidR="00AF26FA" w:rsidRPr="00892273" w:rsidRDefault="00AF26FA" w:rsidP="009E77A7"/>
          <w:p w14:paraId="7585BD4D" w14:textId="77777777" w:rsidR="00AF26FA" w:rsidRPr="00892273" w:rsidRDefault="00AF26FA" w:rsidP="009E77A7">
            <w:r w:rsidRPr="00892273">
              <w:t>Head of Student Success</w:t>
            </w:r>
          </w:p>
        </w:tc>
        <w:tc>
          <w:tcPr>
            <w:tcW w:w="2416" w:type="dxa"/>
          </w:tcPr>
          <w:p w14:paraId="26BC39EC" w14:textId="77777777" w:rsidR="00AF26FA" w:rsidRPr="00892273" w:rsidRDefault="00AF26FA" w:rsidP="009E77A7"/>
          <w:p w14:paraId="1E06CB75" w14:textId="77777777" w:rsidR="00AF26FA" w:rsidRPr="00892273" w:rsidRDefault="00AF26FA" w:rsidP="009E77A7">
            <w:r w:rsidRPr="00892273">
              <w:t>Pro Vice-Chancellor Education and Student Experience</w:t>
            </w:r>
          </w:p>
          <w:p w14:paraId="05B80E3D" w14:textId="77777777" w:rsidR="00AF26FA" w:rsidRPr="00892273" w:rsidRDefault="00AF26FA" w:rsidP="009E77A7"/>
        </w:tc>
        <w:tc>
          <w:tcPr>
            <w:tcW w:w="2820" w:type="dxa"/>
          </w:tcPr>
          <w:p w14:paraId="0106FF9F" w14:textId="77777777" w:rsidR="00AF26FA" w:rsidRPr="00892273" w:rsidRDefault="00AF26FA" w:rsidP="009E77A7"/>
          <w:p w14:paraId="048938DA" w14:textId="77777777" w:rsidR="00AF26FA" w:rsidRPr="00892273" w:rsidRDefault="00AF26FA" w:rsidP="009E77A7">
            <w:r w:rsidRPr="00892273">
              <w:t>Compliance Committee</w:t>
            </w:r>
          </w:p>
          <w:p w14:paraId="1F56BE9E" w14:textId="77777777" w:rsidR="00AF26FA" w:rsidRPr="00892273" w:rsidRDefault="00AF26FA" w:rsidP="009E77A7"/>
        </w:tc>
        <w:tc>
          <w:tcPr>
            <w:tcW w:w="1978" w:type="dxa"/>
          </w:tcPr>
          <w:p w14:paraId="5DDB73F1" w14:textId="77777777" w:rsidR="00AF26FA" w:rsidRPr="00892273" w:rsidRDefault="00AF26FA" w:rsidP="009E77A7"/>
          <w:p w14:paraId="46FBDC79" w14:textId="77777777" w:rsidR="00AF26FA" w:rsidRPr="00892273" w:rsidRDefault="00AF26FA" w:rsidP="009E77A7">
            <w:r w:rsidRPr="00892273">
              <w:t>25</w:t>
            </w:r>
            <w:r w:rsidRPr="00892273">
              <w:rPr>
                <w:vertAlign w:val="superscript"/>
              </w:rPr>
              <w:t>th</w:t>
            </w:r>
            <w:r w:rsidRPr="00892273">
              <w:t xml:space="preserve"> September 2025</w:t>
            </w:r>
          </w:p>
        </w:tc>
      </w:tr>
    </w:tbl>
    <w:p w14:paraId="6119606D" w14:textId="77777777" w:rsidR="00AF26FA" w:rsidRPr="00892273" w:rsidRDefault="00AF26FA" w:rsidP="00AF26FA">
      <w:pPr>
        <w:rPr>
          <w:b/>
        </w:rPr>
      </w:pPr>
    </w:p>
    <w:p w14:paraId="259511E9" w14:textId="77777777" w:rsidR="00AF26FA" w:rsidRPr="00892273" w:rsidRDefault="00AF26FA" w:rsidP="00AF26FA">
      <w:pPr>
        <w:jc w:val="right"/>
        <w:rPr>
          <w:i/>
        </w:rPr>
      </w:pPr>
      <w:r w:rsidRPr="00892273">
        <w:rPr>
          <w:i/>
        </w:rPr>
        <w:t>This Policy will be reviewed in 3 years</w:t>
      </w:r>
    </w:p>
    <w:p w14:paraId="2FA6121D" w14:textId="55E4B687" w:rsidR="6BE37F60" w:rsidRDefault="6BE37F60" w:rsidP="6BE37F60">
      <w:pPr>
        <w:ind w:left="144" w:right="0"/>
        <w:jc w:val="center"/>
        <w:rPr>
          <w:b/>
          <w:bCs/>
          <w:sz w:val="32"/>
          <w:szCs w:val="32"/>
        </w:rPr>
      </w:pPr>
    </w:p>
    <w:p w14:paraId="2A47FF3E" w14:textId="0A6125FC" w:rsidR="6BE37F60" w:rsidRDefault="6BE37F60" w:rsidP="6BE37F60">
      <w:pPr>
        <w:ind w:left="144" w:right="0"/>
        <w:jc w:val="center"/>
        <w:rPr>
          <w:b/>
          <w:bCs/>
          <w:sz w:val="32"/>
          <w:szCs w:val="32"/>
        </w:rPr>
      </w:pPr>
    </w:p>
    <w:p w14:paraId="021F6478" w14:textId="7DF8D68F" w:rsidR="6BE37F60" w:rsidRDefault="6BE37F60" w:rsidP="6BE37F60">
      <w:pPr>
        <w:ind w:left="144" w:right="0"/>
        <w:jc w:val="center"/>
        <w:rPr>
          <w:b/>
          <w:bCs/>
          <w:sz w:val="32"/>
          <w:szCs w:val="32"/>
        </w:rPr>
      </w:pPr>
    </w:p>
    <w:p w14:paraId="3E428AFD" w14:textId="43584DF3" w:rsidR="6BE37F60" w:rsidRDefault="6BE37F60" w:rsidP="6BE37F60">
      <w:pPr>
        <w:ind w:left="144" w:right="0"/>
        <w:jc w:val="center"/>
        <w:rPr>
          <w:b/>
          <w:bCs/>
          <w:sz w:val="32"/>
          <w:szCs w:val="32"/>
        </w:rPr>
      </w:pPr>
    </w:p>
    <w:p w14:paraId="4B059603" w14:textId="426FC0F4" w:rsidR="6BE37F60" w:rsidRDefault="6BE37F60" w:rsidP="6BE37F60">
      <w:pPr>
        <w:ind w:left="144" w:right="0"/>
        <w:jc w:val="center"/>
        <w:rPr>
          <w:b/>
          <w:bCs/>
          <w:sz w:val="32"/>
          <w:szCs w:val="32"/>
        </w:rPr>
      </w:pPr>
    </w:p>
    <w:p w14:paraId="638CDC0D" w14:textId="499B0FC1" w:rsidR="6BE37F60" w:rsidRDefault="6BE37F60" w:rsidP="6BE37F60">
      <w:pPr>
        <w:ind w:left="144" w:right="0"/>
        <w:jc w:val="center"/>
        <w:rPr>
          <w:b/>
          <w:bCs/>
          <w:sz w:val="32"/>
          <w:szCs w:val="32"/>
        </w:rPr>
      </w:pPr>
    </w:p>
    <w:p w14:paraId="3DF3B38D" w14:textId="77777777" w:rsidR="00AF26FA" w:rsidRDefault="00AF26FA" w:rsidP="6BE37F60">
      <w:pPr>
        <w:ind w:left="144" w:right="0"/>
        <w:jc w:val="center"/>
        <w:rPr>
          <w:b/>
          <w:bCs/>
          <w:sz w:val="32"/>
          <w:szCs w:val="32"/>
        </w:rPr>
      </w:pPr>
    </w:p>
    <w:p w14:paraId="75EEBE7D" w14:textId="31411271" w:rsidR="6BE37F60" w:rsidRDefault="6BE37F60" w:rsidP="6BE37F60">
      <w:pPr>
        <w:ind w:left="144" w:right="0"/>
        <w:jc w:val="center"/>
        <w:rPr>
          <w:b/>
          <w:bCs/>
          <w:sz w:val="32"/>
          <w:szCs w:val="32"/>
        </w:rPr>
      </w:pPr>
    </w:p>
    <w:p w14:paraId="35D723A6" w14:textId="771149F4" w:rsidR="6BE37F60" w:rsidRDefault="6BE37F60" w:rsidP="00AF26FA">
      <w:pPr>
        <w:ind w:left="0" w:right="0" w:firstLine="0"/>
        <w:rPr>
          <w:b/>
          <w:bCs/>
          <w:sz w:val="32"/>
          <w:szCs w:val="32"/>
        </w:rPr>
      </w:pPr>
    </w:p>
    <w:p w14:paraId="432DBAE1" w14:textId="0653699F" w:rsidR="002E3BDA" w:rsidRDefault="002E3BDA" w:rsidP="00AF26FA">
      <w:pPr>
        <w:spacing w:after="18" w:line="259" w:lineRule="auto"/>
        <w:ind w:left="0" w:right="0" w:firstLine="0"/>
      </w:pPr>
    </w:p>
    <w:tbl>
      <w:tblPr>
        <w:tblStyle w:val="TableGrid"/>
        <w:tblW w:w="10251" w:type="dxa"/>
        <w:tblInd w:w="-420"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3315"/>
        <w:gridCol w:w="3468"/>
        <w:gridCol w:w="3468"/>
      </w:tblGrid>
      <w:tr w:rsidR="6E7D638F" w14:paraId="0B2ABD73"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45" w:type="dxa"/>
              <w:left w:w="90" w:type="dxa"/>
              <w:right w:w="30" w:type="dxa"/>
            </w:tcMar>
          </w:tcPr>
          <w:p w14:paraId="68499A50" w14:textId="671835AA" w:rsidR="6E7D638F" w:rsidRDefault="6E7D638F" w:rsidP="6E7D638F">
            <w:pPr>
              <w:spacing w:line="259" w:lineRule="auto"/>
              <w:ind w:right="73"/>
              <w:jc w:val="center"/>
              <w:rPr>
                <w:color w:val="000000" w:themeColor="text1"/>
              </w:rPr>
            </w:pPr>
            <w:r w:rsidRPr="6E7D638F">
              <w:rPr>
                <w:b/>
                <w:bCs/>
                <w:color w:val="000000" w:themeColor="text1"/>
              </w:rPr>
              <w:lastRenderedPageBreak/>
              <w:t xml:space="preserve">Policy Detail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45" w:type="dxa"/>
              <w:left w:w="90" w:type="dxa"/>
              <w:right w:w="30" w:type="dxa"/>
            </w:tcMar>
          </w:tcPr>
          <w:p w14:paraId="72DB940F" w14:textId="2FEB502C" w:rsidR="6E7D638F" w:rsidRDefault="6E7D638F" w:rsidP="6E7D638F">
            <w:pPr>
              <w:spacing w:line="259" w:lineRule="auto"/>
              <w:ind w:right="75"/>
              <w:jc w:val="center"/>
              <w:rPr>
                <w:color w:val="000000" w:themeColor="text1"/>
              </w:rPr>
            </w:pPr>
            <w:r w:rsidRPr="6E7D638F">
              <w:rPr>
                <w:b/>
                <w:bCs/>
                <w:color w:val="000000" w:themeColor="text1"/>
              </w:rPr>
              <w:t xml:space="preserve">Information Provided by Policy Writer </w:t>
            </w:r>
          </w:p>
        </w:tc>
      </w:tr>
      <w:tr w:rsidR="6E7D638F" w14:paraId="64D3AD4D"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3D09E35" w14:textId="7C8B9960" w:rsidR="6E7D638F" w:rsidRDefault="6E7D638F" w:rsidP="6E7D638F">
            <w:pPr>
              <w:spacing w:line="259" w:lineRule="auto"/>
              <w:rPr>
                <w:color w:val="000000" w:themeColor="text1"/>
              </w:rPr>
            </w:pPr>
            <w:r w:rsidRPr="6E7D638F">
              <w:rPr>
                <w:b/>
                <w:bCs/>
                <w:color w:val="000000" w:themeColor="text1"/>
              </w:rPr>
              <w:t xml:space="preserve">Policy Title: </w:t>
            </w:r>
          </w:p>
          <w:p w14:paraId="2DE6F097" w14:textId="227337AF" w:rsidR="6E7D638F" w:rsidRDefault="6E7D638F" w:rsidP="6E7D638F">
            <w:pPr>
              <w:spacing w:line="259" w:lineRule="auto"/>
              <w:rPr>
                <w:color w:val="000000" w:themeColor="text1"/>
              </w:rPr>
            </w:pPr>
            <w:r w:rsidRPr="6E7D638F">
              <w:rPr>
                <w:b/>
                <w:bCs/>
                <w:color w:val="000000" w:themeColor="text1"/>
              </w:rPr>
              <w:t xml:space="preserve">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9C3C24A" w14:textId="4425EFE9" w:rsidR="6E7D638F" w:rsidRDefault="6E7D638F" w:rsidP="6BE37F60">
            <w:pPr>
              <w:spacing w:line="259" w:lineRule="auto"/>
              <w:ind w:left="1"/>
              <w:rPr>
                <w:color w:val="000000" w:themeColor="text1"/>
              </w:rPr>
            </w:pPr>
            <w:r w:rsidRPr="6BE37F60">
              <w:rPr>
                <w:color w:val="000000" w:themeColor="text1"/>
              </w:rPr>
              <w:t>Sustainable Careers</w:t>
            </w:r>
            <w:r w:rsidR="60AE4002" w:rsidRPr="6BE37F60">
              <w:rPr>
                <w:color w:val="000000" w:themeColor="text1"/>
              </w:rPr>
              <w:t xml:space="preserve"> &amp; Employability</w:t>
            </w:r>
            <w:r w:rsidRPr="6BE37F60">
              <w:rPr>
                <w:color w:val="000000" w:themeColor="text1"/>
              </w:rPr>
              <w:t xml:space="preserve"> Policy</w:t>
            </w:r>
          </w:p>
        </w:tc>
      </w:tr>
      <w:tr w:rsidR="6E7D638F" w14:paraId="2804BA90"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44423CC" w14:textId="01A9ABEE" w:rsidR="6E7D638F" w:rsidRDefault="6E7D638F" w:rsidP="6E7D638F">
            <w:pPr>
              <w:spacing w:line="259" w:lineRule="auto"/>
              <w:rPr>
                <w:color w:val="000000" w:themeColor="text1"/>
              </w:rPr>
            </w:pPr>
            <w:r w:rsidRPr="6E7D638F">
              <w:rPr>
                <w:b/>
                <w:bCs/>
                <w:color w:val="000000" w:themeColor="text1"/>
              </w:rPr>
              <w:t xml:space="preserve">Brief Description: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B927440" w14:textId="1B5BAE31" w:rsidR="6E7D638F" w:rsidRDefault="077F68A5" w:rsidP="6BE37F60">
            <w:pPr>
              <w:spacing w:after="2" w:line="259" w:lineRule="auto"/>
              <w:rPr>
                <w:color w:val="000000" w:themeColor="text1"/>
              </w:rPr>
            </w:pPr>
            <w:r w:rsidRPr="6BE37F60">
              <w:rPr>
                <w:color w:val="000000" w:themeColor="text1"/>
              </w:rPr>
              <w:t xml:space="preserve">This policy </w:t>
            </w:r>
            <w:r w:rsidR="4473538F" w:rsidRPr="6BE37F60">
              <w:t xml:space="preserve">provides students and graduates with inclusive, impartial guidance, resources, and opportunities to pursue long-term, values-driven careers that balance environmental, social, and economic sustainability while promoting wellbeing, adaptability, and ethical decision-making. </w:t>
            </w:r>
          </w:p>
        </w:tc>
      </w:tr>
      <w:tr w:rsidR="6E7D638F" w14:paraId="4F794707"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6ED08EB" w14:textId="68369971" w:rsidR="6E7D638F" w:rsidRDefault="6E7D638F" w:rsidP="6E7D638F">
            <w:pPr>
              <w:spacing w:line="259" w:lineRule="auto"/>
              <w:rPr>
                <w:color w:val="000000" w:themeColor="text1"/>
              </w:rPr>
            </w:pPr>
            <w:r w:rsidRPr="6E7D638F">
              <w:rPr>
                <w:b/>
                <w:bCs/>
                <w:color w:val="000000" w:themeColor="text1"/>
              </w:rPr>
              <w:t xml:space="preserve">Policy status: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35AF16A9" w14:textId="029F4C28" w:rsidR="6E7D638F" w:rsidRDefault="6E7D638F" w:rsidP="6E7D638F">
            <w:pPr>
              <w:spacing w:line="259" w:lineRule="auto"/>
              <w:ind w:left="1"/>
              <w:rPr>
                <w:color w:val="000000" w:themeColor="text1"/>
              </w:rPr>
            </w:pPr>
            <w:r w:rsidRPr="6E7D638F">
              <w:rPr>
                <w:color w:val="000000" w:themeColor="text1"/>
              </w:rPr>
              <w:t xml:space="preserve">This policy is in isolation. </w:t>
            </w:r>
          </w:p>
        </w:tc>
      </w:tr>
      <w:tr w:rsidR="6E7D638F" w14:paraId="4E9A6454"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D6EABE4" w14:textId="027F29E4" w:rsidR="6E7D638F" w:rsidRDefault="6E7D638F" w:rsidP="6E7D638F">
            <w:pPr>
              <w:spacing w:line="259" w:lineRule="auto"/>
              <w:rPr>
                <w:color w:val="000000" w:themeColor="text1"/>
              </w:rPr>
            </w:pPr>
            <w:r w:rsidRPr="6E7D638F">
              <w:rPr>
                <w:b/>
                <w:bCs/>
                <w:color w:val="000000" w:themeColor="text1"/>
              </w:rPr>
              <w:t xml:space="preserve">Approved by: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07E8214" w14:textId="098DF70F" w:rsidR="6E7D638F" w:rsidRDefault="00AF26FA" w:rsidP="6BE37F60">
            <w:pPr>
              <w:spacing w:line="259" w:lineRule="auto"/>
              <w:ind w:left="1"/>
              <w:rPr>
                <w:color w:val="000000" w:themeColor="text1"/>
              </w:rPr>
            </w:pPr>
            <w:r>
              <w:rPr>
                <w:color w:val="000000" w:themeColor="text1"/>
              </w:rPr>
              <w:t xml:space="preserve">Compliance </w:t>
            </w:r>
            <w:r w:rsidR="00F56CE3">
              <w:rPr>
                <w:color w:val="000000" w:themeColor="text1"/>
              </w:rPr>
              <w:t>Committee</w:t>
            </w:r>
            <w:r w:rsidR="0E0F1482" w:rsidRPr="6BE37F60">
              <w:rPr>
                <w:color w:val="000000" w:themeColor="text1"/>
              </w:rPr>
              <w:t xml:space="preserve">, </w:t>
            </w:r>
            <w:r>
              <w:rPr>
                <w:color w:val="000000" w:themeColor="text1"/>
              </w:rPr>
              <w:t>25</w:t>
            </w:r>
            <w:r w:rsidR="0E0F1482" w:rsidRPr="6BE37F60">
              <w:rPr>
                <w:color w:val="000000" w:themeColor="text1"/>
                <w:vertAlign w:val="superscript"/>
              </w:rPr>
              <w:t>th</w:t>
            </w:r>
            <w:r w:rsidR="0E0F1482" w:rsidRPr="6BE37F60">
              <w:rPr>
                <w:color w:val="000000" w:themeColor="text1"/>
              </w:rPr>
              <w:t xml:space="preserve"> September 2025</w:t>
            </w:r>
          </w:p>
        </w:tc>
      </w:tr>
      <w:tr w:rsidR="6E7D638F" w14:paraId="2220FE48"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DD0F5CF" w14:textId="46243E20" w:rsidR="6E7D638F" w:rsidRDefault="6E7D638F" w:rsidP="6E7D638F">
            <w:pPr>
              <w:spacing w:line="259" w:lineRule="auto"/>
              <w:rPr>
                <w:color w:val="000000" w:themeColor="text1"/>
              </w:rPr>
            </w:pPr>
            <w:r w:rsidRPr="6E7D638F">
              <w:rPr>
                <w:b/>
                <w:bCs/>
                <w:color w:val="000000" w:themeColor="text1"/>
              </w:rPr>
              <w:t xml:space="preserve">Policy Officer: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DA81B8D" w14:textId="2130A5B1" w:rsidR="34DB8992" w:rsidRDefault="00AF26FA" w:rsidP="6E7D638F">
            <w:pPr>
              <w:spacing w:line="259" w:lineRule="auto"/>
              <w:ind w:left="1"/>
              <w:rPr>
                <w:color w:val="000000" w:themeColor="text1"/>
              </w:rPr>
            </w:pPr>
            <w:r>
              <w:rPr>
                <w:color w:val="000000" w:themeColor="text1"/>
              </w:rPr>
              <w:t>Head of Student Success</w:t>
            </w:r>
          </w:p>
        </w:tc>
      </w:tr>
      <w:tr w:rsidR="6E7D638F" w14:paraId="596EF46B"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7258E7A" w14:textId="4B668D5E" w:rsidR="6E7D638F" w:rsidRDefault="6E7D638F" w:rsidP="6E7D638F">
            <w:pPr>
              <w:spacing w:line="259" w:lineRule="auto"/>
              <w:rPr>
                <w:color w:val="000000" w:themeColor="text1"/>
              </w:rPr>
            </w:pPr>
            <w:r w:rsidRPr="6E7D638F">
              <w:rPr>
                <w:b/>
                <w:bCs/>
                <w:color w:val="000000" w:themeColor="text1"/>
              </w:rPr>
              <w:t xml:space="preserve">Senior Responsible Officer: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EB1D73A" w14:textId="50C3C3D9" w:rsidR="6E7D638F" w:rsidRDefault="6E7D638F" w:rsidP="6BE37F60">
            <w:pPr>
              <w:spacing w:line="259" w:lineRule="auto"/>
              <w:ind w:left="1"/>
              <w:rPr>
                <w:color w:val="000000" w:themeColor="text1"/>
              </w:rPr>
            </w:pPr>
            <w:r w:rsidRPr="6BE37F60">
              <w:rPr>
                <w:color w:val="000000" w:themeColor="text1"/>
              </w:rPr>
              <w:t>Pro Vice-Chancellor Education &amp; Student Experience</w:t>
            </w:r>
            <w:r w:rsidR="7688DE2B" w:rsidRPr="6BE37F60">
              <w:rPr>
                <w:color w:val="000000" w:themeColor="text1"/>
              </w:rPr>
              <w:t xml:space="preserve"> </w:t>
            </w:r>
          </w:p>
        </w:tc>
      </w:tr>
      <w:tr w:rsidR="6E7D638F" w14:paraId="33228B91"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EC50976" w14:textId="10D90CB1" w:rsidR="6E7D638F" w:rsidRDefault="6E7D638F" w:rsidP="6E7D638F">
            <w:pPr>
              <w:spacing w:line="259" w:lineRule="auto"/>
              <w:rPr>
                <w:color w:val="000000" w:themeColor="text1"/>
              </w:rPr>
            </w:pPr>
            <w:r w:rsidRPr="6E7D638F">
              <w:rPr>
                <w:b/>
                <w:bCs/>
                <w:color w:val="000000" w:themeColor="text1"/>
              </w:rPr>
              <w:t xml:space="preserve">Effective From: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6E7704C" w14:textId="40BA1DEF" w:rsidR="6E7D638F" w:rsidRDefault="00AF26FA" w:rsidP="6BE37F60">
            <w:pPr>
              <w:spacing w:line="259" w:lineRule="auto"/>
              <w:ind w:left="1"/>
              <w:rPr>
                <w:color w:val="000000" w:themeColor="text1"/>
              </w:rPr>
            </w:pPr>
            <w:r>
              <w:rPr>
                <w:color w:val="000000" w:themeColor="text1"/>
              </w:rPr>
              <w:t>25</w:t>
            </w:r>
            <w:r w:rsidR="03D98076" w:rsidRPr="6BE37F60">
              <w:rPr>
                <w:color w:val="000000" w:themeColor="text1"/>
                <w:vertAlign w:val="superscript"/>
              </w:rPr>
              <w:t>th</w:t>
            </w:r>
            <w:r w:rsidR="03D98076" w:rsidRPr="6BE37F60">
              <w:rPr>
                <w:color w:val="000000" w:themeColor="text1"/>
              </w:rPr>
              <w:t xml:space="preserve"> September 2025</w:t>
            </w:r>
          </w:p>
        </w:tc>
      </w:tr>
      <w:tr w:rsidR="6E7D638F" w14:paraId="1BCBABE3"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4134275A" w14:textId="5F9D27DD" w:rsidR="6E7D638F" w:rsidRDefault="6E7D638F" w:rsidP="6E7D638F">
            <w:pPr>
              <w:spacing w:line="259" w:lineRule="auto"/>
              <w:rPr>
                <w:color w:val="000000" w:themeColor="text1"/>
              </w:rPr>
            </w:pPr>
            <w:r w:rsidRPr="6E7D638F">
              <w:rPr>
                <w:b/>
                <w:bCs/>
                <w:color w:val="000000" w:themeColor="text1"/>
              </w:rPr>
              <w:t xml:space="preserve">Review Frequency: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8259E22" w14:textId="50B4D2C0" w:rsidR="6E7D638F" w:rsidRDefault="6E7D638F" w:rsidP="6E7D638F">
            <w:pPr>
              <w:spacing w:line="259" w:lineRule="auto"/>
              <w:ind w:left="1"/>
              <w:rPr>
                <w:color w:val="000000" w:themeColor="text1"/>
              </w:rPr>
            </w:pPr>
            <w:r w:rsidRPr="6E7D638F">
              <w:rPr>
                <w:color w:val="000000" w:themeColor="text1"/>
              </w:rPr>
              <w:t xml:space="preserve">Every 3 years </w:t>
            </w:r>
          </w:p>
        </w:tc>
      </w:tr>
      <w:tr w:rsidR="6E7D638F" w14:paraId="3E5E1C2D"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1875D50C" w14:textId="463F7B11" w:rsidR="6E7D638F" w:rsidRDefault="6E7D638F" w:rsidP="6E7D638F">
            <w:pPr>
              <w:spacing w:line="259" w:lineRule="auto"/>
              <w:rPr>
                <w:color w:val="000000" w:themeColor="text1"/>
              </w:rPr>
            </w:pPr>
            <w:r w:rsidRPr="6E7D638F">
              <w:rPr>
                <w:b/>
                <w:bCs/>
                <w:color w:val="000000" w:themeColor="text1"/>
              </w:rPr>
              <w:t xml:space="preserve">Supersedes: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F06661C" w14:textId="4663BEC3" w:rsidR="6E7D638F" w:rsidRDefault="6E7D638F" w:rsidP="6E7D638F">
            <w:pPr>
              <w:spacing w:line="259" w:lineRule="auto"/>
              <w:rPr>
                <w:color w:val="000000" w:themeColor="text1"/>
              </w:rPr>
            </w:pPr>
            <w:r w:rsidRPr="6E7D638F">
              <w:rPr>
                <w:color w:val="000000" w:themeColor="text1"/>
              </w:rPr>
              <w:t xml:space="preserve">N/A </w:t>
            </w:r>
          </w:p>
        </w:tc>
      </w:tr>
      <w:tr w:rsidR="007C0C1D" w14:paraId="0962ED5A"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BC915EA" w14:textId="5E8AA2E0" w:rsidR="007C0C1D" w:rsidRDefault="007C0C1D" w:rsidP="6E7D638F">
            <w:pPr>
              <w:spacing w:line="259" w:lineRule="auto"/>
              <w:rPr>
                <w:color w:val="000000" w:themeColor="text1"/>
              </w:rPr>
            </w:pPr>
            <w:r w:rsidRPr="6E7D638F">
              <w:rPr>
                <w:b/>
                <w:bCs/>
                <w:color w:val="000000" w:themeColor="text1"/>
              </w:rPr>
              <w:t xml:space="preserve">Last Reviewed: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4E99692" w14:textId="585C83DF" w:rsidR="007C0C1D" w:rsidRDefault="007C0C1D" w:rsidP="6BE37F60">
            <w:pPr>
              <w:spacing w:line="259" w:lineRule="auto"/>
              <w:rPr>
                <w:color w:val="000000" w:themeColor="text1"/>
              </w:rPr>
            </w:pPr>
            <w:r w:rsidRPr="6BE37F60">
              <w:rPr>
                <w:color w:val="000000" w:themeColor="text1"/>
              </w:rPr>
              <w:t xml:space="preserve">N/A </w:t>
            </w:r>
          </w:p>
        </w:tc>
      </w:tr>
      <w:tr w:rsidR="6E7D638F" w14:paraId="3C586D17"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320900C" w14:textId="6049CD01" w:rsidR="6E7D638F" w:rsidRDefault="6E7D638F" w:rsidP="6E7D638F">
            <w:pPr>
              <w:spacing w:line="259" w:lineRule="auto"/>
              <w:rPr>
                <w:color w:val="000000" w:themeColor="text1"/>
              </w:rPr>
            </w:pPr>
            <w:r w:rsidRPr="6E7D638F">
              <w:rPr>
                <w:b/>
                <w:bCs/>
                <w:color w:val="000000" w:themeColor="text1"/>
              </w:rPr>
              <w:t xml:space="preserve">Equality Impact Assessment: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5BD2121" w14:textId="094DC840" w:rsidR="6E7D638F" w:rsidRDefault="00AF26FA" w:rsidP="6BE37F60">
            <w:pPr>
              <w:spacing w:line="259" w:lineRule="auto"/>
              <w:rPr>
                <w:color w:val="000000" w:themeColor="text1"/>
              </w:rPr>
            </w:pPr>
            <w:r>
              <w:rPr>
                <w:color w:val="000000" w:themeColor="text1"/>
              </w:rPr>
              <w:t>25</w:t>
            </w:r>
            <w:r w:rsidR="7F5B5116" w:rsidRPr="6BE37F60">
              <w:rPr>
                <w:color w:val="000000" w:themeColor="text1"/>
                <w:vertAlign w:val="superscript"/>
              </w:rPr>
              <w:t>th</w:t>
            </w:r>
            <w:r w:rsidR="6E7D638F" w:rsidRPr="6BE37F60">
              <w:rPr>
                <w:color w:val="000000" w:themeColor="text1"/>
              </w:rPr>
              <w:t xml:space="preserve"> </w:t>
            </w:r>
            <w:r w:rsidR="7F5B5116" w:rsidRPr="6BE37F60">
              <w:rPr>
                <w:color w:val="000000" w:themeColor="text1"/>
              </w:rPr>
              <w:t xml:space="preserve">September </w:t>
            </w:r>
            <w:r w:rsidR="6E7D638F" w:rsidRPr="6BE37F60">
              <w:rPr>
                <w:color w:val="000000" w:themeColor="text1"/>
              </w:rPr>
              <w:t>2025</w:t>
            </w:r>
            <w:r w:rsidR="7CEC9676" w:rsidRPr="6BE37F60">
              <w:rPr>
                <w:color w:val="000000" w:themeColor="text1"/>
              </w:rPr>
              <w:t xml:space="preserve"> </w:t>
            </w:r>
          </w:p>
        </w:tc>
      </w:tr>
      <w:tr w:rsidR="6E7D638F" w14:paraId="73222F8C"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CE7A751" w14:textId="4BDEDDA9" w:rsidR="6E7D638F" w:rsidRDefault="6E7D638F" w:rsidP="6E7D638F">
            <w:pPr>
              <w:spacing w:line="259" w:lineRule="auto"/>
              <w:rPr>
                <w:color w:val="000000" w:themeColor="text1"/>
              </w:rPr>
            </w:pPr>
            <w:r w:rsidRPr="6E7D638F">
              <w:rPr>
                <w:b/>
                <w:bCs/>
                <w:color w:val="000000" w:themeColor="text1"/>
              </w:rPr>
              <w:t xml:space="preserve">Sustainability:  </w:t>
            </w:r>
          </w:p>
          <w:p w14:paraId="0EE86882" w14:textId="140E3458" w:rsidR="6E7D638F" w:rsidRDefault="6E7D638F" w:rsidP="6E7D638F">
            <w:pPr>
              <w:spacing w:line="259" w:lineRule="auto"/>
              <w:rPr>
                <w:color w:val="000000" w:themeColor="text1"/>
              </w:rPr>
            </w:pPr>
            <w:r w:rsidRPr="6E7D638F">
              <w:rPr>
                <w:b/>
                <w:bCs/>
                <w:color w:val="000000" w:themeColor="text1"/>
              </w:rPr>
              <w:t xml:space="preserve"> </w:t>
            </w:r>
          </w:p>
          <w:p w14:paraId="4C74AFC9" w14:textId="2BE64D87" w:rsidR="6E7D638F" w:rsidRDefault="6E7D638F" w:rsidP="6E7D638F">
            <w:pPr>
              <w:spacing w:line="259" w:lineRule="auto"/>
              <w:rPr>
                <w:color w:val="000000" w:themeColor="text1"/>
              </w:rPr>
            </w:pPr>
            <w:r w:rsidRPr="6E7D638F">
              <w:rPr>
                <w:b/>
                <w:bCs/>
                <w:color w:val="000000" w:themeColor="text1"/>
              </w:rPr>
              <w:t xml:space="preserve">(Please see Bangor </w:t>
            </w:r>
          </w:p>
          <w:p w14:paraId="60C4C94E" w14:textId="489CC01D" w:rsidR="6E7D638F" w:rsidRDefault="6E7D638F" w:rsidP="6E7D638F">
            <w:pPr>
              <w:spacing w:line="259" w:lineRule="auto"/>
              <w:rPr>
                <w:color w:val="000000" w:themeColor="text1"/>
              </w:rPr>
            </w:pPr>
            <w:r w:rsidRPr="6E7D638F">
              <w:rPr>
                <w:b/>
                <w:bCs/>
                <w:color w:val="000000" w:themeColor="text1"/>
              </w:rPr>
              <w:t xml:space="preserve">University’s </w:t>
            </w:r>
          </w:p>
          <w:p w14:paraId="73CAE7C2" w14:textId="4968F731" w:rsidR="6E7D638F" w:rsidRDefault="6E7D638F" w:rsidP="6E7D638F">
            <w:pPr>
              <w:spacing w:line="259" w:lineRule="auto"/>
              <w:rPr>
                <w:color w:val="000000" w:themeColor="text1"/>
              </w:rPr>
            </w:pPr>
            <w:r w:rsidRPr="6E7D638F">
              <w:rPr>
                <w:b/>
                <w:bCs/>
                <w:color w:val="000000" w:themeColor="text1"/>
              </w:rPr>
              <w:t>Sustainability Policy for more information.)</w:t>
            </w:r>
            <w:r w:rsidRPr="6E7D638F">
              <w:rPr>
                <w:color w:val="000000" w:themeColor="text1"/>
              </w:rPr>
              <w:t xml:space="preserve"> </w:t>
            </w:r>
          </w:p>
        </w:tc>
        <w:tc>
          <w:tcPr>
            <w:tcW w:w="34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1EF10162" w14:textId="14F31260" w:rsidR="6E7D638F" w:rsidRDefault="6E7D638F" w:rsidP="6E7D638F">
            <w:pPr>
              <w:spacing w:line="239" w:lineRule="auto"/>
              <w:rPr>
                <w:color w:val="000000" w:themeColor="text1"/>
              </w:rPr>
            </w:pPr>
            <w:r w:rsidRPr="6E7D638F">
              <w:rPr>
                <w:b/>
                <w:bCs/>
                <w:color w:val="000000" w:themeColor="text1"/>
              </w:rPr>
              <w:t xml:space="preserve">How does this policy demonstrate commitment to </w:t>
            </w:r>
          </w:p>
          <w:p w14:paraId="561B8645" w14:textId="43E36D05" w:rsidR="6E7D638F" w:rsidRDefault="6E7D638F" w:rsidP="6E7D638F">
            <w:pPr>
              <w:spacing w:line="239" w:lineRule="auto"/>
              <w:rPr>
                <w:color w:val="000000" w:themeColor="text1"/>
              </w:rPr>
            </w:pPr>
            <w:r w:rsidRPr="6E7D638F">
              <w:rPr>
                <w:b/>
                <w:bCs/>
                <w:color w:val="000000" w:themeColor="text1"/>
              </w:rPr>
              <w:t xml:space="preserve">the University’s sustainability principles, including actions, </w:t>
            </w:r>
          </w:p>
          <w:p w14:paraId="1B3FAA99" w14:textId="05A4FBA5" w:rsidR="6E7D638F" w:rsidRDefault="6E7D638F" w:rsidP="6E7D638F">
            <w:pPr>
              <w:spacing w:line="239" w:lineRule="auto"/>
              <w:rPr>
                <w:color w:val="000000" w:themeColor="text1"/>
              </w:rPr>
            </w:pPr>
            <w:r w:rsidRPr="6E7D638F">
              <w:rPr>
                <w:b/>
                <w:bCs/>
                <w:color w:val="000000" w:themeColor="text1"/>
              </w:rPr>
              <w:t xml:space="preserve">timescales, student and staff training, and resource implications where applicable? </w:t>
            </w:r>
          </w:p>
          <w:p w14:paraId="6F2925E1" w14:textId="46B1367E" w:rsidR="6E7D638F" w:rsidRDefault="6E7D638F" w:rsidP="6E7D638F">
            <w:pPr>
              <w:spacing w:line="259" w:lineRule="auto"/>
              <w:rPr>
                <w:color w:val="000000" w:themeColor="text1"/>
              </w:rPr>
            </w:pPr>
            <w:r w:rsidRPr="6E7D638F">
              <w:rPr>
                <w:b/>
                <w:bCs/>
                <w:color w:val="000000" w:themeColor="text1"/>
              </w:rPr>
              <w:t xml:space="preserve"> </w:t>
            </w:r>
          </w:p>
          <w:p w14:paraId="4268F37C" w14:textId="1AE77803" w:rsidR="6E7D638F" w:rsidRDefault="6E7D638F" w:rsidP="6E7D638F">
            <w:pPr>
              <w:spacing w:after="1" w:line="238" w:lineRule="auto"/>
              <w:rPr>
                <w:color w:val="000000" w:themeColor="text1"/>
              </w:rPr>
            </w:pPr>
          </w:p>
          <w:p w14:paraId="24864C92" w14:textId="70255C8C" w:rsidR="6E7D638F" w:rsidRDefault="6E7D638F" w:rsidP="6E7D638F">
            <w:pPr>
              <w:spacing w:after="1" w:line="238" w:lineRule="auto"/>
              <w:rPr>
                <w:color w:val="000000" w:themeColor="text1"/>
              </w:rPr>
            </w:pPr>
          </w:p>
          <w:p w14:paraId="25AFE688" w14:textId="68B8D405" w:rsidR="6E7D638F" w:rsidRDefault="6E7D638F" w:rsidP="6E7D638F">
            <w:pPr>
              <w:spacing w:after="1" w:line="238" w:lineRule="auto"/>
              <w:rPr>
                <w:color w:val="000000" w:themeColor="text1"/>
              </w:rPr>
            </w:pPr>
          </w:p>
          <w:p w14:paraId="333699B2" w14:textId="661AA1C6" w:rsidR="6E7D638F" w:rsidRDefault="6E7D638F" w:rsidP="6E7D638F">
            <w:pPr>
              <w:spacing w:after="1" w:line="238" w:lineRule="auto"/>
              <w:rPr>
                <w:color w:val="000000" w:themeColor="text1"/>
              </w:rPr>
            </w:pPr>
          </w:p>
          <w:p w14:paraId="1DED76EA" w14:textId="488D2176" w:rsidR="6E7D638F" w:rsidRDefault="6E7D638F" w:rsidP="6E7D638F">
            <w:pPr>
              <w:spacing w:after="1" w:line="238" w:lineRule="auto"/>
              <w:rPr>
                <w:color w:val="000000" w:themeColor="text1"/>
              </w:rPr>
            </w:pPr>
          </w:p>
          <w:p w14:paraId="0EBDC11A" w14:textId="5B100807" w:rsidR="6E7D638F" w:rsidRDefault="6E7D638F" w:rsidP="6E7D638F">
            <w:pPr>
              <w:spacing w:after="1" w:line="238" w:lineRule="auto"/>
              <w:rPr>
                <w:color w:val="000000" w:themeColor="text1"/>
              </w:rPr>
            </w:pPr>
          </w:p>
          <w:p w14:paraId="60E8CC6A" w14:textId="47F44402" w:rsidR="6E7D638F" w:rsidRDefault="6E7D638F" w:rsidP="6E7D638F">
            <w:pPr>
              <w:spacing w:after="1" w:line="238" w:lineRule="auto"/>
              <w:rPr>
                <w:color w:val="000000" w:themeColor="text1"/>
              </w:rPr>
            </w:pPr>
          </w:p>
          <w:p w14:paraId="4BD074A9" w14:textId="6E35BC57" w:rsidR="6E7D638F" w:rsidRDefault="6E7D638F" w:rsidP="6E7D638F">
            <w:pPr>
              <w:spacing w:after="1" w:line="238" w:lineRule="auto"/>
              <w:rPr>
                <w:color w:val="000000" w:themeColor="text1"/>
              </w:rPr>
            </w:pPr>
          </w:p>
          <w:p w14:paraId="10300EE3" w14:textId="4BA2B926" w:rsidR="6E7D638F" w:rsidRDefault="6E7D638F" w:rsidP="6E7D638F">
            <w:pPr>
              <w:spacing w:after="1" w:line="238" w:lineRule="auto"/>
              <w:rPr>
                <w:color w:val="000000" w:themeColor="text1"/>
              </w:rPr>
            </w:pPr>
            <w:r w:rsidRPr="6E7D638F">
              <w:rPr>
                <w:b/>
                <w:bCs/>
                <w:color w:val="000000" w:themeColor="text1"/>
              </w:rPr>
              <w:t xml:space="preserve">Who have you worked with to develop this policy (both within the University and externally)? </w:t>
            </w:r>
          </w:p>
          <w:p w14:paraId="75EC19CE" w14:textId="77D61C40" w:rsidR="6E7D638F" w:rsidRDefault="6E7D638F" w:rsidP="6E7D638F">
            <w:pPr>
              <w:spacing w:after="1" w:line="238" w:lineRule="auto"/>
              <w:rPr>
                <w:color w:val="000000" w:themeColor="text1"/>
              </w:rPr>
            </w:pPr>
          </w:p>
          <w:p w14:paraId="02A911BB" w14:textId="6400CD0F" w:rsidR="6E7D638F" w:rsidRDefault="6E7D638F" w:rsidP="6E7D638F">
            <w:pPr>
              <w:spacing w:after="1" w:line="238" w:lineRule="auto"/>
              <w:rPr>
                <w:color w:val="000000" w:themeColor="text1"/>
              </w:rPr>
            </w:pPr>
          </w:p>
          <w:p w14:paraId="251C7380" w14:textId="57AC8BE5" w:rsidR="6E7D638F" w:rsidRDefault="6E7D638F" w:rsidP="6E7D638F">
            <w:pPr>
              <w:spacing w:after="1" w:line="238" w:lineRule="auto"/>
              <w:rPr>
                <w:color w:val="000000" w:themeColor="text1"/>
              </w:rPr>
            </w:pPr>
          </w:p>
          <w:p w14:paraId="68010F34" w14:textId="75EAADDC" w:rsidR="6E7D638F" w:rsidRDefault="6E7D638F" w:rsidP="6E7D638F">
            <w:pPr>
              <w:spacing w:after="1" w:line="238" w:lineRule="auto"/>
              <w:rPr>
                <w:color w:val="000000" w:themeColor="text1"/>
              </w:rPr>
            </w:pPr>
          </w:p>
          <w:p w14:paraId="170B3C39" w14:textId="63A97916" w:rsidR="6E7D638F" w:rsidRDefault="6E7D638F" w:rsidP="6E7D638F">
            <w:pPr>
              <w:spacing w:after="1" w:line="238" w:lineRule="auto"/>
              <w:rPr>
                <w:color w:val="000000" w:themeColor="text1"/>
              </w:rPr>
            </w:pPr>
          </w:p>
          <w:p w14:paraId="10122E5E" w14:textId="681A30CD" w:rsidR="6E7D638F" w:rsidRDefault="6E7D638F" w:rsidP="6E7D638F">
            <w:pPr>
              <w:spacing w:after="1" w:line="238" w:lineRule="auto"/>
              <w:rPr>
                <w:color w:val="000000" w:themeColor="text1"/>
              </w:rPr>
            </w:pPr>
          </w:p>
          <w:p w14:paraId="008E373D" w14:textId="03AE8773" w:rsidR="6E7D638F" w:rsidRDefault="6E7D638F" w:rsidP="6E7D638F">
            <w:pPr>
              <w:spacing w:line="259" w:lineRule="auto"/>
              <w:rPr>
                <w:color w:val="000000" w:themeColor="text1"/>
              </w:rPr>
            </w:pPr>
            <w:r w:rsidRPr="6E7D638F">
              <w:rPr>
                <w:b/>
                <w:bCs/>
                <w:color w:val="000000" w:themeColor="text1"/>
              </w:rPr>
              <w:t xml:space="preserve"> </w:t>
            </w:r>
          </w:p>
          <w:p w14:paraId="0098D6EA" w14:textId="0B7BA2EC" w:rsidR="6E7D638F" w:rsidRDefault="6E7D638F" w:rsidP="6E7D638F">
            <w:pPr>
              <w:spacing w:line="259" w:lineRule="auto"/>
              <w:rPr>
                <w:color w:val="000000" w:themeColor="text1"/>
              </w:rPr>
            </w:pPr>
          </w:p>
          <w:p w14:paraId="699901B1" w14:textId="27E47244" w:rsidR="6E7D638F" w:rsidRDefault="6E7D638F" w:rsidP="6E7D638F">
            <w:pPr>
              <w:spacing w:line="259" w:lineRule="auto"/>
              <w:rPr>
                <w:color w:val="000000" w:themeColor="text1"/>
              </w:rPr>
            </w:pPr>
          </w:p>
          <w:p w14:paraId="274FC1EC" w14:textId="5AF7DB6B" w:rsidR="6E7D638F" w:rsidRDefault="6E7D638F" w:rsidP="6BE37F60">
            <w:pPr>
              <w:spacing w:line="259" w:lineRule="auto"/>
              <w:rPr>
                <w:color w:val="000000" w:themeColor="text1"/>
              </w:rPr>
            </w:pPr>
          </w:p>
          <w:p w14:paraId="7C45F2AD" w14:textId="69DAF609" w:rsidR="6E7D638F" w:rsidRDefault="6E7D638F" w:rsidP="6E7D638F">
            <w:pPr>
              <w:spacing w:line="259" w:lineRule="auto"/>
              <w:rPr>
                <w:color w:val="000000" w:themeColor="text1"/>
              </w:rPr>
            </w:pPr>
            <w:r w:rsidRPr="6E7D638F">
              <w:rPr>
                <w:b/>
                <w:bCs/>
                <w:color w:val="000000" w:themeColor="text1"/>
              </w:rPr>
              <w:t>How is the policy’s sustainability monitored?</w:t>
            </w:r>
            <w:r w:rsidRPr="6E7D638F">
              <w:rPr>
                <w:color w:val="000000" w:themeColor="text1"/>
              </w:rPr>
              <w:t xml:space="preserve"> </w:t>
            </w:r>
          </w:p>
        </w:tc>
        <w:tc>
          <w:tcPr>
            <w:tcW w:w="34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3E61D9E9" w14:textId="1C6C9D29" w:rsidR="6E7D638F" w:rsidRDefault="6E7D638F" w:rsidP="6BE37F60">
            <w:pPr>
              <w:spacing w:line="238" w:lineRule="auto"/>
              <w:ind w:right="24"/>
              <w:rPr>
                <w:color w:val="000000" w:themeColor="text1"/>
              </w:rPr>
            </w:pPr>
            <w:r w:rsidRPr="6BE37F60">
              <w:rPr>
                <w:color w:val="000000" w:themeColor="text1"/>
              </w:rPr>
              <w:lastRenderedPageBreak/>
              <w:t>This policy demonstrates commitment to the University’s Sustainability principles through its 10 Sustainable Careers and Employability Principles, integrating environmental, social and economic considerations within Careers Education, Information and Guidance Services.</w:t>
            </w:r>
          </w:p>
          <w:p w14:paraId="1C2319D5" w14:textId="6CCF2376" w:rsidR="6E7D638F" w:rsidRDefault="6E7D638F" w:rsidP="6BE37F60">
            <w:pPr>
              <w:spacing w:line="238" w:lineRule="auto"/>
              <w:ind w:right="24"/>
              <w:rPr>
                <w:color w:val="000000" w:themeColor="text1"/>
              </w:rPr>
            </w:pPr>
            <w:r w:rsidRPr="6BE37F60">
              <w:rPr>
                <w:color w:val="000000" w:themeColor="text1"/>
              </w:rPr>
              <w:t>Further</w:t>
            </w:r>
            <w:r w:rsidR="503B0065" w:rsidRPr="6BE37F60">
              <w:rPr>
                <w:color w:val="000000" w:themeColor="text1"/>
              </w:rPr>
              <w:t>,</w:t>
            </w:r>
            <w:r w:rsidRPr="6BE37F60">
              <w:rPr>
                <w:color w:val="000000" w:themeColor="text1"/>
              </w:rPr>
              <w:t xml:space="preserve"> the 10 principles align with the Welsh Government’s Well-being of Future Generations Act and the UN’s Sustainable Development Goals</w:t>
            </w:r>
            <w:r w:rsidR="6177B46C" w:rsidRPr="6BE37F60">
              <w:rPr>
                <w:color w:val="000000" w:themeColor="text1"/>
              </w:rPr>
              <w:t xml:space="preserve">. </w:t>
            </w:r>
            <w:r w:rsidRPr="6BE37F60">
              <w:rPr>
                <w:color w:val="000000" w:themeColor="text1"/>
              </w:rPr>
              <w:t xml:space="preserve">Where applicable staff and </w:t>
            </w:r>
            <w:r w:rsidR="123AD40C" w:rsidRPr="6BE37F60">
              <w:rPr>
                <w:color w:val="000000" w:themeColor="text1"/>
              </w:rPr>
              <w:t>s</w:t>
            </w:r>
            <w:r w:rsidRPr="6BE37F60">
              <w:rPr>
                <w:color w:val="000000" w:themeColor="text1"/>
              </w:rPr>
              <w:t xml:space="preserve">tudent training will be provided. </w:t>
            </w:r>
          </w:p>
          <w:p w14:paraId="469CBA4B" w14:textId="5310BBC0" w:rsidR="6E7D638F" w:rsidRDefault="6E7D638F" w:rsidP="6E7D638F">
            <w:pPr>
              <w:spacing w:line="259" w:lineRule="auto"/>
              <w:rPr>
                <w:color w:val="000000" w:themeColor="text1"/>
              </w:rPr>
            </w:pPr>
            <w:r w:rsidRPr="6E7D638F">
              <w:rPr>
                <w:color w:val="000000" w:themeColor="text1"/>
              </w:rPr>
              <w:t xml:space="preserve"> </w:t>
            </w:r>
          </w:p>
          <w:p w14:paraId="3CE39065" w14:textId="5F6E9576" w:rsidR="6E7D638F" w:rsidRDefault="6E7D638F" w:rsidP="6BE37F60">
            <w:pPr>
              <w:spacing w:line="259" w:lineRule="auto"/>
              <w:rPr>
                <w:color w:val="000000" w:themeColor="text1"/>
              </w:rPr>
            </w:pPr>
            <w:r w:rsidRPr="6BE37F60">
              <w:rPr>
                <w:color w:val="000000" w:themeColor="text1"/>
              </w:rPr>
              <w:t xml:space="preserve">Medr, Advance HE Community of Practice (CoP) for employability. Ethical and Sustainable Employability task and complete group worked collaboratively across Welsh </w:t>
            </w:r>
            <w:r w:rsidRPr="6BE37F60">
              <w:rPr>
                <w:color w:val="000000" w:themeColor="text1"/>
              </w:rPr>
              <w:lastRenderedPageBreak/>
              <w:t>institutions</w:t>
            </w:r>
            <w:r w:rsidR="24429609" w:rsidRPr="6BE37F60">
              <w:rPr>
                <w:color w:val="000000" w:themeColor="text1"/>
              </w:rPr>
              <w:t xml:space="preserve">. Staff in academic schools and professional services relating to employability and sustainability. </w:t>
            </w:r>
            <w:r w:rsidRPr="6BE37F60">
              <w:rPr>
                <w:color w:val="000000" w:themeColor="text1"/>
              </w:rPr>
              <w:t xml:space="preserve"> </w:t>
            </w:r>
          </w:p>
          <w:p w14:paraId="4A78C5A3" w14:textId="71D2779C" w:rsidR="6E7D638F" w:rsidRDefault="6E7D638F" w:rsidP="6E7D638F">
            <w:pPr>
              <w:spacing w:line="259" w:lineRule="auto"/>
              <w:rPr>
                <w:color w:val="000000" w:themeColor="text1"/>
              </w:rPr>
            </w:pPr>
            <w:r w:rsidRPr="6E7D638F">
              <w:rPr>
                <w:color w:val="000000" w:themeColor="text1"/>
              </w:rPr>
              <w:t xml:space="preserve"> </w:t>
            </w:r>
          </w:p>
          <w:p w14:paraId="35B2253A" w14:textId="60966D5B" w:rsidR="6E7D638F" w:rsidRDefault="6E7D638F" w:rsidP="6E7D638F">
            <w:pPr>
              <w:spacing w:line="259" w:lineRule="auto"/>
              <w:rPr>
                <w:color w:val="000000" w:themeColor="text1"/>
              </w:rPr>
            </w:pPr>
            <w:r w:rsidRPr="6E7D638F">
              <w:rPr>
                <w:color w:val="000000" w:themeColor="text1"/>
              </w:rPr>
              <w:t xml:space="preserve"> </w:t>
            </w:r>
          </w:p>
          <w:p w14:paraId="424EF22F" w14:textId="1DBEB8EC" w:rsidR="6E7D638F" w:rsidRDefault="6E7D638F" w:rsidP="6E7D638F">
            <w:pPr>
              <w:spacing w:line="259" w:lineRule="auto"/>
              <w:rPr>
                <w:color w:val="000000" w:themeColor="text1"/>
              </w:rPr>
            </w:pPr>
            <w:r w:rsidRPr="6E7D638F">
              <w:rPr>
                <w:color w:val="000000" w:themeColor="text1"/>
              </w:rPr>
              <w:t xml:space="preserve">Bangor University publishes Sustainable Development Goals Progress Reports and regularly evaluates its institutional sustainability metrics, providing a model of accountability and growth. </w:t>
            </w:r>
          </w:p>
          <w:p w14:paraId="7CF11B48" w14:textId="1907C15B" w:rsidR="6E7D638F" w:rsidRDefault="6E7D638F" w:rsidP="6E7D638F">
            <w:pPr>
              <w:spacing w:line="259" w:lineRule="auto"/>
              <w:rPr>
                <w:color w:val="000000" w:themeColor="text1"/>
              </w:rPr>
            </w:pPr>
          </w:p>
          <w:p w14:paraId="00E3BF88" w14:textId="1807ECD0" w:rsidR="6E7D638F" w:rsidRDefault="6E7D638F" w:rsidP="6E7D638F">
            <w:pPr>
              <w:spacing w:line="259" w:lineRule="auto"/>
              <w:rPr>
                <w:color w:val="000000" w:themeColor="text1"/>
              </w:rPr>
            </w:pPr>
          </w:p>
        </w:tc>
      </w:tr>
      <w:tr w:rsidR="6E7D638F" w14:paraId="1DE2FCA5"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107F24A8" w14:textId="025B13BF" w:rsidR="6E7D638F" w:rsidRDefault="6E7D638F" w:rsidP="6BE37F60">
            <w:pPr>
              <w:spacing w:line="259" w:lineRule="auto"/>
              <w:jc w:val="both"/>
              <w:rPr>
                <w:color w:val="000000" w:themeColor="text1"/>
              </w:rPr>
            </w:pPr>
            <w:r w:rsidRPr="6BE37F60">
              <w:rPr>
                <w:b/>
                <w:bCs/>
                <w:color w:val="000000" w:themeColor="text1"/>
              </w:rPr>
              <w:lastRenderedPageBreak/>
              <w:t>Welsh</w:t>
            </w:r>
            <w:r w:rsidR="0E1C5DB7" w:rsidRPr="6BE37F60">
              <w:rPr>
                <w:b/>
                <w:bCs/>
                <w:color w:val="000000" w:themeColor="text1"/>
              </w:rPr>
              <w:t xml:space="preserve"> </w:t>
            </w:r>
            <w:r w:rsidRPr="6BE37F60">
              <w:rPr>
                <w:b/>
                <w:bCs/>
                <w:color w:val="000000" w:themeColor="text1"/>
              </w:rPr>
              <w:t xml:space="preserve">Language Version: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90" w:type="dxa"/>
              <w:right w:w="30" w:type="dxa"/>
            </w:tcMar>
          </w:tcPr>
          <w:p w14:paraId="783B207A" w14:textId="410BDDAC" w:rsidR="6E7D638F" w:rsidRDefault="004A53D3" w:rsidP="6BE37F60">
            <w:pPr>
              <w:spacing w:line="259" w:lineRule="auto"/>
              <w:rPr>
                <w:color w:val="000000" w:themeColor="text1"/>
                <w:highlight w:val="yellow"/>
              </w:rPr>
            </w:pPr>
            <w:hyperlink r:id="rId9" w:history="1">
              <w:r>
                <w:rPr>
                  <w:rStyle w:val="Hyperlink"/>
                </w:rPr>
                <w:t>https://www.bangor.ac.uk/governance-and-compliance/sustainable-careers-employability-policy.php.cy</w:t>
              </w:r>
            </w:hyperlink>
          </w:p>
        </w:tc>
      </w:tr>
      <w:tr w:rsidR="6E7D638F" w14:paraId="2571C498" w14:textId="77777777" w:rsidTr="007C0C1D">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768E290" w14:textId="76291FE8" w:rsidR="6E7D638F" w:rsidRDefault="6E7D638F" w:rsidP="6E7D638F">
            <w:pPr>
              <w:spacing w:line="259" w:lineRule="auto"/>
              <w:rPr>
                <w:color w:val="000000" w:themeColor="text1"/>
              </w:rPr>
            </w:pPr>
            <w:r w:rsidRPr="6E7D638F">
              <w:rPr>
                <w:b/>
                <w:bCs/>
                <w:color w:val="000000" w:themeColor="text1"/>
              </w:rPr>
              <w:t xml:space="preserve">Keywords: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2E52DD47" w14:textId="7551912D" w:rsidR="6E7D638F" w:rsidRDefault="6E7D638F" w:rsidP="6BE37F60">
            <w:pPr>
              <w:spacing w:line="259" w:lineRule="auto"/>
              <w:rPr>
                <w:color w:val="000000" w:themeColor="text1"/>
              </w:rPr>
            </w:pPr>
            <w:r w:rsidRPr="6BE37F60">
              <w:rPr>
                <w:color w:val="000000" w:themeColor="text1"/>
              </w:rPr>
              <w:t>Sustainable Careers, Employability, Values-based, Recruitment, Wellbeing principles, Impartial, Inclusive</w:t>
            </w:r>
            <w:r w:rsidR="00CDD58B" w:rsidRPr="6BE37F60">
              <w:rPr>
                <w:color w:val="000000" w:themeColor="text1"/>
              </w:rPr>
              <w:t>.</w:t>
            </w:r>
          </w:p>
          <w:p w14:paraId="3A46C13E" w14:textId="204157B9" w:rsidR="6E7D638F" w:rsidRDefault="6E7D638F" w:rsidP="6E7D638F">
            <w:pPr>
              <w:spacing w:line="259" w:lineRule="auto"/>
              <w:rPr>
                <w:color w:val="000000" w:themeColor="text1"/>
              </w:rPr>
            </w:pPr>
          </w:p>
        </w:tc>
      </w:tr>
    </w:tbl>
    <w:p w14:paraId="38E3489A" w14:textId="565FF586" w:rsidR="6BE37F60" w:rsidRDefault="6BE37F60" w:rsidP="6BE37F60">
      <w:pPr>
        <w:ind w:left="0" w:right="0" w:firstLine="0"/>
      </w:pPr>
    </w:p>
    <w:p w14:paraId="57D92251" w14:textId="7774548C" w:rsidR="002E3BDA" w:rsidRDefault="002E3BDA" w:rsidP="6BE37F60">
      <w:pPr>
        <w:ind w:left="0" w:right="0" w:firstLine="0"/>
      </w:pPr>
      <w:r>
        <w:t xml:space="preserve">INTRODUCTION </w:t>
      </w:r>
    </w:p>
    <w:p w14:paraId="16215C26" w14:textId="623FE5B2" w:rsidR="6BE37F60" w:rsidRDefault="6BE37F60" w:rsidP="6BE37F60">
      <w:pPr>
        <w:spacing w:after="18" w:line="259" w:lineRule="auto"/>
        <w:ind w:left="0" w:right="0" w:firstLine="0"/>
      </w:pPr>
    </w:p>
    <w:p w14:paraId="1AA44C27" w14:textId="77777777" w:rsidR="00844725" w:rsidRDefault="6C390162" w:rsidP="00F45408">
      <w:pPr>
        <w:spacing w:line="276" w:lineRule="auto"/>
      </w:pPr>
      <w:r w:rsidRPr="6BE37F60">
        <w:t>At Bangor University our commitment to sustainability is embedded in everything we do; from our teaching and research to the ways we support students preparing for their futures.</w:t>
      </w:r>
    </w:p>
    <w:p w14:paraId="0BAE6AEE" w14:textId="28FD5B4C" w:rsidR="002E3BDA" w:rsidRDefault="6C390162" w:rsidP="00F45408">
      <w:pPr>
        <w:spacing w:line="276" w:lineRule="auto"/>
      </w:pPr>
      <w:r w:rsidRPr="6BE37F60">
        <w:t xml:space="preserve"> </w:t>
      </w:r>
    </w:p>
    <w:p w14:paraId="46D692C4" w14:textId="5FBE76E5" w:rsidR="002E3BDA" w:rsidRDefault="6C390162" w:rsidP="00F45408">
      <w:pPr>
        <w:spacing w:line="276" w:lineRule="auto"/>
        <w:ind w:left="0" w:firstLine="0"/>
      </w:pPr>
      <w:r w:rsidRPr="118D138F">
        <w:t xml:space="preserve">We live in a rapidly changing world. Climate instability, global inequality, technological disruption, and shifting social values are all reshaping what it means to have a successful and meaningful career. In this context, sustainability is not just about environmental impact, it also means ensuring social responsibility, economic resilience, personal wellbeing, and lifelong adaptability. Sustainable careers are those which are built to last and allow individuals to thrive while contributing positively to society and the planet. </w:t>
      </w:r>
    </w:p>
    <w:p w14:paraId="1CF8D29B" w14:textId="77777777" w:rsidR="00844725" w:rsidRDefault="00844725" w:rsidP="00F45408">
      <w:pPr>
        <w:spacing w:line="276" w:lineRule="auto"/>
        <w:ind w:left="0" w:firstLine="0"/>
      </w:pPr>
    </w:p>
    <w:p w14:paraId="1D769AED" w14:textId="53011E20" w:rsidR="002E3BDA" w:rsidRDefault="0014701B" w:rsidP="00F45408">
      <w:pPr>
        <w:spacing w:line="276" w:lineRule="auto"/>
        <w:ind w:left="0" w:firstLine="0"/>
      </w:pPr>
      <w:r>
        <w:t>S</w:t>
      </w:r>
      <w:r w:rsidR="79EA8566">
        <w:t xml:space="preserve">et within this context, </w:t>
      </w:r>
      <w:r w:rsidR="7F9E1F30">
        <w:t>our University’s</w:t>
      </w:r>
      <w:r w:rsidR="36A7C647">
        <w:t xml:space="preserve"> </w:t>
      </w:r>
      <w:r w:rsidR="7F9E1F30" w:rsidRPr="566DF8A6">
        <w:t xml:space="preserve">Student Success Team - Careers and Employability are members of the Association of Graduate Careers Advisory Services (AGCAS), a recognised body backed by rigorous professional standards and quality agenda. Their position on impartiality and the promotion of </w:t>
      </w:r>
      <w:proofErr w:type="gramStart"/>
      <w:r w:rsidR="7F9E1F30" w:rsidRPr="566DF8A6">
        <w:t>particular employers</w:t>
      </w:r>
      <w:proofErr w:type="gramEnd"/>
      <w:r w:rsidR="7F9E1F30" w:rsidRPr="566DF8A6">
        <w:t xml:space="preserve"> and industry sectors is as follows:</w:t>
      </w:r>
    </w:p>
    <w:p w14:paraId="2519107D" w14:textId="77777777" w:rsidR="0014701B" w:rsidRDefault="0014701B" w:rsidP="00F45408">
      <w:pPr>
        <w:spacing w:line="276" w:lineRule="auto"/>
      </w:pPr>
    </w:p>
    <w:p w14:paraId="1ABD50D0" w14:textId="5B695AE1" w:rsidR="002E3BDA" w:rsidRDefault="7F9E1F30" w:rsidP="566DF8A6">
      <w:pPr>
        <w:spacing w:after="160" w:line="276" w:lineRule="auto"/>
        <w:ind w:left="720" w:right="0"/>
        <w:rPr>
          <w:i/>
        </w:rPr>
      </w:pPr>
      <w:r w:rsidRPr="566DF8A6">
        <w:rPr>
          <w:i/>
          <w:iCs/>
        </w:rPr>
        <w:lastRenderedPageBreak/>
        <w:t>Impartiality is core to careers education, information, advice and guidance. HE careers professionals support students to make well informed decisions about their career and to align their career plans with their values and ethics. As a profession, impartiality is core and written into the AGCAS Code of Ethics.</w:t>
      </w:r>
    </w:p>
    <w:p w14:paraId="33F908A8" w14:textId="77777777" w:rsidR="0029338F" w:rsidRDefault="0029338F" w:rsidP="6BE37F60">
      <w:pPr>
        <w:ind w:left="0" w:right="0" w:firstLine="0"/>
      </w:pPr>
    </w:p>
    <w:p w14:paraId="6BD1FAF3" w14:textId="48C4763E" w:rsidR="002E3BDA" w:rsidRDefault="002E3BDA" w:rsidP="6BE37F60">
      <w:pPr>
        <w:ind w:left="0" w:right="0" w:firstLine="0"/>
      </w:pPr>
      <w:r>
        <w:t xml:space="preserve">POLICY STATEMENT </w:t>
      </w:r>
    </w:p>
    <w:p w14:paraId="71952FBD" w14:textId="77777777" w:rsidR="002E3BDA" w:rsidRDefault="002E3BDA" w:rsidP="002E3BDA">
      <w:pPr>
        <w:spacing w:after="18" w:line="259" w:lineRule="auto"/>
        <w:ind w:left="149" w:right="0" w:firstLine="0"/>
      </w:pPr>
      <w:r>
        <w:t xml:space="preserve"> </w:t>
      </w:r>
    </w:p>
    <w:p w14:paraId="0BC2A7BA" w14:textId="55AE1775" w:rsidR="0014701B" w:rsidRDefault="22BAA040" w:rsidP="2539965A">
      <w:pPr>
        <w:spacing w:after="160" w:line="276" w:lineRule="auto"/>
      </w:pPr>
      <w:r>
        <w:t xml:space="preserve">Our sustainability strategy sets a vision </w:t>
      </w:r>
      <w:r w:rsidR="7978F418">
        <w:t>where</w:t>
      </w:r>
      <w:r w:rsidR="06849373">
        <w:t xml:space="preserve"> </w:t>
      </w:r>
      <w:r w:rsidR="28AA61EE">
        <w:t>sustainability</w:t>
      </w:r>
      <w:r w:rsidR="06849373">
        <w:t xml:space="preserve"> becomes embedded across all University activities, </w:t>
      </w:r>
      <w:r w:rsidR="030132F8">
        <w:t>aspiring</w:t>
      </w:r>
      <w:r w:rsidR="06849373">
        <w:t xml:space="preserve"> to have the principles of </w:t>
      </w:r>
      <w:r w:rsidR="520ED6C1">
        <w:t>sustainability</w:t>
      </w:r>
      <w:r w:rsidR="06849373">
        <w:t xml:space="preserve"> at their core</w:t>
      </w:r>
      <w:r w:rsidR="2BB22149">
        <w:t xml:space="preserve">. A key </w:t>
      </w:r>
      <w:r>
        <w:t xml:space="preserve">priority </w:t>
      </w:r>
      <w:r w:rsidR="586CF292">
        <w:t xml:space="preserve">is </w:t>
      </w:r>
      <w:r>
        <w:t xml:space="preserve">to provide learning opportunities, sustainability-focused projects, and extracurricular activities that empower students to actively engage in, and adopt, sustainable behaviours as they interact with their learning, living and social environments, ensuring they graduate as informed and proactive stewards of social, economic, and environmental sustainability. </w:t>
      </w:r>
    </w:p>
    <w:p w14:paraId="0AA887E0" w14:textId="04250614" w:rsidR="434BEA55" w:rsidRDefault="434BEA55" w:rsidP="118D138F">
      <w:pPr>
        <w:spacing w:after="160" w:line="276" w:lineRule="auto"/>
      </w:pPr>
      <w:r w:rsidRPr="6BE37F60">
        <w:t xml:space="preserve">Our teaching and learning strategy </w:t>
      </w:r>
      <w:proofErr w:type="gramStart"/>
      <w:r w:rsidRPr="6BE37F60">
        <w:t>sets</w:t>
      </w:r>
      <w:proofErr w:type="gramEnd"/>
      <w:r w:rsidRPr="6BE37F60">
        <w:t xml:space="preserve"> a vision where we will provide students with an inclusive, supportive and safe learning environment, grounded within a bilingual context, to realise our ambition to develop graduates and a </w:t>
      </w:r>
      <w:r w:rsidR="2DB159F8" w:rsidRPr="6BE37F60">
        <w:t>university</w:t>
      </w:r>
      <w:r w:rsidRPr="6BE37F60">
        <w:t xml:space="preserve"> to transform our region and compete on a World stage. A key priority of the strategy is to enable our students to successfully contribute to, and compete in, our regional and global graduate market positively enhancing our graduate outcomes.</w:t>
      </w:r>
    </w:p>
    <w:p w14:paraId="77E39BEA" w14:textId="07727CBE" w:rsidR="434BEA55" w:rsidRDefault="05146201" w:rsidP="2539965A">
      <w:pPr>
        <w:spacing w:after="160" w:line="276" w:lineRule="auto"/>
        <w:ind w:left="0" w:firstLine="0"/>
      </w:pPr>
      <w:r>
        <w:t>B</w:t>
      </w:r>
      <w:r w:rsidR="000B2F90">
        <w:t>alanc</w:t>
      </w:r>
      <w:r w:rsidR="1E0E26CD">
        <w:t>ing</w:t>
      </w:r>
      <w:r w:rsidR="000B2F90">
        <w:t xml:space="preserve"> and integrat</w:t>
      </w:r>
      <w:r w:rsidR="1AD522E3">
        <w:t>ing</w:t>
      </w:r>
      <w:r w:rsidR="000B2F90">
        <w:t xml:space="preserve"> environmental, social and economic considerations with Careers Education, Information and Guidance Services</w:t>
      </w:r>
      <w:r w:rsidR="00A21AC5">
        <w:t xml:space="preserve">, </w:t>
      </w:r>
      <w:r w:rsidR="6793FB93">
        <w:t xml:space="preserve">and accessibility for all, </w:t>
      </w:r>
      <w:r w:rsidR="434BEA55">
        <w:t xml:space="preserve">Bangor University </w:t>
      </w:r>
      <w:r w:rsidR="00A21AC5">
        <w:t xml:space="preserve">sets out 10 </w:t>
      </w:r>
      <w:r w:rsidR="00DE09B8">
        <w:t xml:space="preserve">Sustainable Careers and Employability </w:t>
      </w:r>
      <w:r w:rsidR="00DA6B01">
        <w:t>P</w:t>
      </w:r>
      <w:r w:rsidR="434BEA55">
        <w:t xml:space="preserve">rinciples </w:t>
      </w:r>
      <w:r w:rsidR="00DB0AB5">
        <w:t>to</w:t>
      </w:r>
      <w:r w:rsidR="434BEA55">
        <w:t xml:space="preserve"> underpin </w:t>
      </w:r>
      <w:r w:rsidR="715BD2B1">
        <w:t>our strategic approach</w:t>
      </w:r>
      <w:r w:rsidR="434BEA55">
        <w:t xml:space="preserve"> and the </w:t>
      </w:r>
      <w:hyperlink r:id="rId10">
        <w:r w:rsidR="434BEA55" w:rsidRPr="4EA8D914">
          <w:rPr>
            <w:rStyle w:val="Hyperlink"/>
          </w:rPr>
          <w:t>Code of Practice for Careers Education, Information and Guidance</w:t>
        </w:r>
      </w:hyperlink>
      <w:r w:rsidR="00DB0AB5">
        <w:t xml:space="preserve"> in the work of </w:t>
      </w:r>
      <w:r w:rsidR="00CD4C1E">
        <w:t>our Student Success Team – Careers and Employability services.</w:t>
      </w:r>
    </w:p>
    <w:p w14:paraId="305B1241" w14:textId="14A8ADA3" w:rsidR="434BEA55" w:rsidRDefault="434BEA55" w:rsidP="6BE37F60">
      <w:pPr>
        <w:spacing w:after="160" w:line="276" w:lineRule="auto"/>
      </w:pPr>
      <w:r w:rsidRPr="6BE37F60">
        <w:t xml:space="preserve">The Student Success Team - Careers and Employability services include careers education, advice and guidance (CEIG), enterprise and entrepreneurship, services to employers, services to graduates, work experience and work placement support, and the development and promotion of volunteering, work shadowing and part-time and graduate job opportunities. </w:t>
      </w:r>
    </w:p>
    <w:p w14:paraId="73A2352B" w14:textId="1803B05C" w:rsidR="6BE37F60" w:rsidRDefault="417767C7" w:rsidP="6BE37F60">
      <w:pPr>
        <w:spacing w:after="0" w:line="276" w:lineRule="auto"/>
        <w:ind w:right="0" w:firstLine="0"/>
      </w:pPr>
      <w:r>
        <w:t>Further the team</w:t>
      </w:r>
      <w:r w:rsidR="434BEA55" w:rsidRPr="6BE37F60">
        <w:t xml:space="preserve"> delivers co- and extra-curricular CEIG in partnership with academic schools and colleges, including employability sessions, placement preparation and review, and support with employability-focused events and initiatives. </w:t>
      </w:r>
    </w:p>
    <w:p w14:paraId="1930AE5C" w14:textId="6FFF1BBC" w:rsidR="4EA8D914" w:rsidRDefault="4EA8D914" w:rsidP="4EA8D914">
      <w:pPr>
        <w:spacing w:after="0" w:line="276" w:lineRule="auto"/>
        <w:ind w:right="0" w:firstLine="0"/>
      </w:pPr>
    </w:p>
    <w:p w14:paraId="39FB5382" w14:textId="1D9096D2" w:rsidR="434BEA55" w:rsidRDefault="434BEA55" w:rsidP="6BE37F60">
      <w:pPr>
        <w:spacing w:after="0" w:line="276" w:lineRule="auto"/>
        <w:ind w:right="0" w:firstLine="0"/>
      </w:pPr>
      <w:r w:rsidRPr="6BE37F60">
        <w:t xml:space="preserve">CEIG services delivered by the </w:t>
      </w:r>
      <w:r w:rsidR="00E05E8E">
        <w:t>team</w:t>
      </w:r>
      <w:r w:rsidRPr="6BE37F60">
        <w:t xml:space="preserve"> are freely accessible to any enrolled student on a course that is eligible for access to Bangor University services, and to graduates of eligible courses for up to three years after graduation.</w:t>
      </w:r>
    </w:p>
    <w:p w14:paraId="6F5998DD" w14:textId="61DECAFC" w:rsidR="002E3BDA" w:rsidRDefault="002E3BDA" w:rsidP="6BE37F60">
      <w:pPr>
        <w:ind w:left="144" w:right="0"/>
      </w:pPr>
    </w:p>
    <w:p w14:paraId="3A51705A" w14:textId="5F31073C" w:rsidR="002E3BDA" w:rsidRDefault="002E3BDA" w:rsidP="6BE37F60">
      <w:pPr>
        <w:ind w:left="144" w:right="0"/>
      </w:pPr>
    </w:p>
    <w:p w14:paraId="20E33DBE" w14:textId="77777777" w:rsidR="0029338F" w:rsidRDefault="0029338F" w:rsidP="6BE37F60">
      <w:pPr>
        <w:spacing w:after="18" w:line="259" w:lineRule="auto"/>
        <w:ind w:left="0" w:right="0" w:firstLine="0"/>
      </w:pPr>
    </w:p>
    <w:p w14:paraId="67811AAB" w14:textId="41D895D7" w:rsidR="4EA8D914" w:rsidRDefault="4EA8D914" w:rsidP="4EA8D914">
      <w:pPr>
        <w:spacing w:after="18" w:line="259" w:lineRule="auto"/>
        <w:ind w:left="0" w:right="0" w:firstLine="0"/>
      </w:pPr>
    </w:p>
    <w:p w14:paraId="7B669943" w14:textId="090506D1" w:rsidR="002E3BDA" w:rsidRDefault="002E3BDA" w:rsidP="6BE37F60">
      <w:pPr>
        <w:spacing w:after="18" w:line="259" w:lineRule="auto"/>
        <w:ind w:left="0" w:right="0" w:firstLine="0"/>
      </w:pPr>
      <w:r>
        <w:t xml:space="preserve">RELATED POLICIES </w:t>
      </w:r>
    </w:p>
    <w:p w14:paraId="2A12A3E4" w14:textId="77777777" w:rsidR="002E3BDA" w:rsidRDefault="002E3BDA" w:rsidP="002E3BDA">
      <w:pPr>
        <w:spacing w:after="16" w:line="259" w:lineRule="auto"/>
        <w:ind w:left="149" w:right="0" w:firstLine="0"/>
      </w:pPr>
      <w:r>
        <w:t xml:space="preserve"> </w:t>
      </w:r>
    </w:p>
    <w:p w14:paraId="47975E38" w14:textId="596D3A0E" w:rsidR="4BA79B1F" w:rsidRDefault="4BA79B1F" w:rsidP="6BE37F60">
      <w:pPr>
        <w:ind w:left="0" w:right="0" w:firstLine="0"/>
        <w:rPr>
          <w:color w:val="000000" w:themeColor="text1"/>
        </w:rPr>
      </w:pPr>
      <w:r w:rsidRPr="6BE37F60">
        <w:rPr>
          <w:color w:val="000000" w:themeColor="text1"/>
        </w:rPr>
        <w:t>This policy is in isolation</w:t>
      </w:r>
      <w:r w:rsidR="6874CDE3" w:rsidRPr="6BE37F60">
        <w:rPr>
          <w:color w:val="000000" w:themeColor="text1"/>
        </w:rPr>
        <w:t xml:space="preserve">. </w:t>
      </w:r>
    </w:p>
    <w:p w14:paraId="59E94D8A" w14:textId="77777777" w:rsidR="002E3BDA" w:rsidRDefault="002E3BDA" w:rsidP="002E3BDA">
      <w:pPr>
        <w:spacing w:after="18" w:line="259" w:lineRule="auto"/>
        <w:ind w:left="149" w:right="0" w:firstLine="0"/>
      </w:pPr>
      <w:r>
        <w:t xml:space="preserve"> </w:t>
      </w:r>
    </w:p>
    <w:p w14:paraId="665086F7" w14:textId="77777777" w:rsidR="002E3BDA" w:rsidRDefault="002E3BDA" w:rsidP="6BE37F60">
      <w:pPr>
        <w:ind w:left="0" w:right="0" w:firstLine="0"/>
      </w:pPr>
      <w:r>
        <w:t xml:space="preserve">PROCEDURES   </w:t>
      </w:r>
    </w:p>
    <w:p w14:paraId="3A5697C9" w14:textId="77777777" w:rsidR="002E3BDA" w:rsidRDefault="002E3BDA" w:rsidP="002E3BDA">
      <w:pPr>
        <w:spacing w:after="21" w:line="259" w:lineRule="auto"/>
        <w:ind w:left="149" w:right="0" w:firstLine="0"/>
      </w:pPr>
      <w:r>
        <w:t xml:space="preserve"> </w:t>
      </w:r>
    </w:p>
    <w:p w14:paraId="0CD4CADB" w14:textId="34E831D3" w:rsidR="2539965A" w:rsidRDefault="35B911B4" w:rsidP="00945EFA">
      <w:pPr>
        <w:spacing w:after="160" w:line="276" w:lineRule="auto"/>
      </w:pPr>
      <w:r w:rsidRPr="6BE37F60">
        <w:t xml:space="preserve">Our 10 Sustainable Careers and Employability Principles presented in this policy align with the Welsh Government’s Well-being of Future Generations Act and the UN’s Sustainable Development Goals - frameworks that encourage long-term thinking and systemic change. We help our students and graduates to critically assess the values of potential employers, reflect on their own positioning, and navigate complex choices with impartial and inclusive support in terms of their future careers. </w:t>
      </w:r>
    </w:p>
    <w:p w14:paraId="64B0819A" w14:textId="1696A012" w:rsidR="002E3BDA" w:rsidRDefault="35B911B4" w:rsidP="118D138F">
      <w:pPr>
        <w:spacing w:after="160" w:line="276" w:lineRule="auto"/>
      </w:pPr>
      <w:r w:rsidRPr="118D138F">
        <w:t>This means that:</w:t>
      </w:r>
    </w:p>
    <w:p w14:paraId="6F74D337" w14:textId="4B355903" w:rsidR="002E3BDA" w:rsidRDefault="35B911B4" w:rsidP="118D138F">
      <w:pPr>
        <w:pStyle w:val="ListParagraph"/>
        <w:numPr>
          <w:ilvl w:val="0"/>
          <w:numId w:val="1"/>
        </w:numPr>
        <w:spacing w:after="0" w:line="276" w:lineRule="auto"/>
        <w:ind w:right="0"/>
        <w:rPr>
          <w:i/>
          <w:iCs/>
        </w:rPr>
      </w:pPr>
      <w:r w:rsidRPr="118D138F">
        <w:t xml:space="preserve">The university will encourage and support students and graduates to investigate whether future employers match their own values; Culture &amp; values are personal, and impartiality is key. For example, </w:t>
      </w:r>
      <w:r w:rsidRPr="118D138F">
        <w:rPr>
          <w:i/>
          <w:iCs/>
        </w:rPr>
        <w:t xml:space="preserve">Bangor University's Student Success Team - Careers and Employability provides guidance and resources to help students assess employers' ethical and sustainability practices. The platform </w:t>
      </w:r>
      <w:hyperlink r:id="rId11">
        <w:r w:rsidRPr="118D138F">
          <w:rPr>
            <w:rStyle w:val="Hyperlink"/>
          </w:rPr>
          <w:t>Windo</w:t>
        </w:r>
      </w:hyperlink>
      <w:r w:rsidRPr="118D138F">
        <w:rPr>
          <w:i/>
          <w:iCs/>
        </w:rPr>
        <w:t xml:space="preserve"> offers insights into employers' sustainability credentials, supporting values-based decision-making. In addition, students are taught critical thinking and research skills throughout their degrees, equipping them to independently evaluate job opportunities and investigate the ethical and environmental performance of potential employers.</w:t>
      </w:r>
    </w:p>
    <w:p w14:paraId="3ECDB56A" w14:textId="6E0570EA"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1FF5F88F" w14:textId="0F4A3239" w:rsidR="002E3BDA" w:rsidRDefault="35B911B4" w:rsidP="118D138F">
      <w:pPr>
        <w:pStyle w:val="ListParagraph"/>
        <w:numPr>
          <w:ilvl w:val="0"/>
          <w:numId w:val="1"/>
        </w:numPr>
        <w:spacing w:after="0" w:line="276" w:lineRule="auto"/>
        <w:ind w:right="0"/>
        <w:rPr>
          <w:i/>
          <w:iCs/>
        </w:rPr>
      </w:pPr>
      <w:r w:rsidRPr="118D138F">
        <w:t xml:space="preserve">Opportunities for students to take personal responsibility for career planning, will be supported by provisions made available within and outside the curriculum. For example, </w:t>
      </w:r>
      <w:r w:rsidRPr="118D138F">
        <w:rPr>
          <w:i/>
          <w:iCs/>
        </w:rPr>
        <w:t>the Career Success Pathway allows students to record and reflect on their development across academic and extracurricular experiences, encouraging ownership of career planning. In addition, students receive degree and subject-specific career advice throughout their studies, ensuring that guidance is tailored to their academic and professional aspirations.</w:t>
      </w:r>
    </w:p>
    <w:p w14:paraId="10D70584" w14:textId="0B2A5B7E"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58D3F434" w14:textId="1ACA8AFE" w:rsidR="002E3BDA" w:rsidRDefault="35B911B4" w:rsidP="118D138F">
      <w:pPr>
        <w:pStyle w:val="ListParagraph"/>
        <w:numPr>
          <w:ilvl w:val="0"/>
          <w:numId w:val="1"/>
        </w:numPr>
        <w:spacing w:after="0" w:line="276" w:lineRule="auto"/>
        <w:ind w:right="0"/>
        <w:rPr>
          <w:i/>
          <w:iCs/>
        </w:rPr>
      </w:pPr>
      <w:r w:rsidRPr="118D138F">
        <w:t>Our services will enable students and graduates to prepare for and make effective decisions about their futures based on a clear understanding of themselves in relation to present and future opportunities. For example, c</w:t>
      </w:r>
      <w:r w:rsidRPr="118D138F">
        <w:rPr>
          <w:i/>
          <w:iCs/>
        </w:rPr>
        <w:t>areer planning workshops and self-assessment tools offered by the Student Success Team - Careers and Employability, alongside tailored guidance provided by academic schools, help students and graduates align their personal strengths with industry opportunities.</w:t>
      </w:r>
    </w:p>
    <w:p w14:paraId="021F0B6A" w14:textId="3B6EE7E8" w:rsidR="002E3BDA" w:rsidRDefault="35B911B4" w:rsidP="118D138F">
      <w:pPr>
        <w:spacing w:after="0" w:line="276" w:lineRule="auto"/>
        <w:ind w:left="720" w:right="0"/>
      </w:pPr>
      <w:r w:rsidRPr="118D138F">
        <w:rPr>
          <w:rFonts w:ascii="Calibri" w:eastAsia="Calibri" w:hAnsi="Calibri" w:cs="Calibri"/>
          <w:i/>
          <w:iCs/>
          <w:sz w:val="22"/>
          <w:szCs w:val="22"/>
        </w:rPr>
        <w:lastRenderedPageBreak/>
        <w:t xml:space="preserve"> </w:t>
      </w:r>
    </w:p>
    <w:p w14:paraId="7D9F892E" w14:textId="745746A7" w:rsidR="002E3BDA" w:rsidRDefault="35B911B4" w:rsidP="118D138F">
      <w:pPr>
        <w:pStyle w:val="ListParagraph"/>
        <w:numPr>
          <w:ilvl w:val="0"/>
          <w:numId w:val="1"/>
        </w:numPr>
        <w:spacing w:after="0" w:line="276" w:lineRule="auto"/>
        <w:ind w:right="0"/>
        <w:rPr>
          <w:i/>
          <w:iCs/>
        </w:rPr>
      </w:pPr>
      <w:r w:rsidRPr="118D138F">
        <w:t>Planning for growth and personal development opportunities will be encouraged by supporting students and graduates to develop a suite of effective resources to manage their own life-long process of personal development and career management during your degree and as a graduate. For example, p</w:t>
      </w:r>
      <w:r w:rsidRPr="118D138F">
        <w:rPr>
          <w:i/>
          <w:iCs/>
        </w:rPr>
        <w:t xml:space="preserve">latforms such as </w:t>
      </w:r>
      <w:proofErr w:type="spellStart"/>
      <w:r w:rsidRPr="118D138F">
        <w:rPr>
          <w:i/>
          <w:iCs/>
        </w:rPr>
        <w:t>CareerConnect</w:t>
      </w:r>
      <w:proofErr w:type="spellEnd"/>
      <w:r w:rsidRPr="118D138F">
        <w:rPr>
          <w:i/>
          <w:iCs/>
        </w:rPr>
        <w:t xml:space="preserve">, </w:t>
      </w:r>
      <w:proofErr w:type="spellStart"/>
      <w:r w:rsidRPr="118D138F">
        <w:rPr>
          <w:i/>
          <w:iCs/>
        </w:rPr>
        <w:t>CareerSet</w:t>
      </w:r>
      <w:proofErr w:type="spellEnd"/>
      <w:r w:rsidRPr="118D138F">
        <w:rPr>
          <w:i/>
          <w:iCs/>
        </w:rPr>
        <w:t xml:space="preserve"> and Grads First offer tailored resources, CV and interview support, available to students and graduates up to three years after completing their studies.</w:t>
      </w:r>
    </w:p>
    <w:p w14:paraId="1AEAB49D" w14:textId="54F9B3FB"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3FB1EB26" w14:textId="63A6DA14" w:rsidR="002E3BDA" w:rsidRDefault="35B911B4" w:rsidP="118D138F">
      <w:pPr>
        <w:pStyle w:val="ListParagraph"/>
        <w:numPr>
          <w:ilvl w:val="0"/>
          <w:numId w:val="1"/>
        </w:numPr>
        <w:spacing w:after="0" w:line="276" w:lineRule="auto"/>
        <w:ind w:right="0"/>
        <w:rPr>
          <w:i/>
          <w:iCs/>
        </w:rPr>
      </w:pPr>
      <w:r w:rsidRPr="118D138F">
        <w:t xml:space="preserve">By raising awareness and understanding of </w:t>
      </w:r>
      <w:hyperlink r:id="rId12">
        <w:r w:rsidRPr="118D138F">
          <w:rPr>
            <w:rStyle w:val="Hyperlink"/>
          </w:rPr>
          <w:t>The Well-being of Future Generations Act (Wales) 2015</w:t>
        </w:r>
      </w:hyperlink>
      <w:r w:rsidRPr="118D138F">
        <w:t xml:space="preserve"> and </w:t>
      </w:r>
      <w:hyperlink r:id="rId13">
        <w:r w:rsidRPr="118D138F">
          <w:rPr>
            <w:rStyle w:val="Hyperlink"/>
          </w:rPr>
          <w:t>UN Sustainable Development Goals</w:t>
        </w:r>
      </w:hyperlink>
      <w:r w:rsidRPr="118D138F">
        <w:t xml:space="preserve">, students will be informed and have the choice to decide how to apply this knowledge to their own values and beliefs for future generations. For example, </w:t>
      </w:r>
      <w:r w:rsidRPr="118D138F">
        <w:rPr>
          <w:i/>
          <w:iCs/>
        </w:rPr>
        <w:t xml:space="preserve">Bangor University integrates the Sustainable Development </w:t>
      </w:r>
      <w:proofErr w:type="gramStart"/>
      <w:r w:rsidRPr="118D138F">
        <w:rPr>
          <w:i/>
          <w:iCs/>
        </w:rPr>
        <w:t>Goals</w:t>
      </w:r>
      <w:proofErr w:type="gramEnd"/>
      <w:r w:rsidRPr="118D138F">
        <w:rPr>
          <w:i/>
          <w:iCs/>
        </w:rPr>
        <w:t xml:space="preserve"> and the Future Generations Act into teaching and research and regularly promotes sustainability themes through workshops and events.</w:t>
      </w:r>
    </w:p>
    <w:p w14:paraId="3ABD8AC0" w14:textId="54B71F82"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25BD707C" w14:textId="2B545906" w:rsidR="002E3BDA" w:rsidRDefault="35B911B4" w:rsidP="118D138F">
      <w:pPr>
        <w:pStyle w:val="ListParagraph"/>
        <w:numPr>
          <w:ilvl w:val="0"/>
          <w:numId w:val="1"/>
        </w:numPr>
        <w:spacing w:after="0" w:line="276" w:lineRule="auto"/>
        <w:ind w:right="0"/>
        <w:rPr>
          <w:i/>
          <w:iCs/>
        </w:rPr>
      </w:pPr>
      <w:r w:rsidRPr="118D138F">
        <w:t xml:space="preserve">Students will be provided with the information on developments and trends in their chosen industry/sector, with these opportunities continuously improve to align with evolving sustainable careers and recruitment practices. For example, </w:t>
      </w:r>
      <w:r w:rsidRPr="118D138F">
        <w:rPr>
          <w:i/>
          <w:iCs/>
        </w:rPr>
        <w:t>My Graduate Career Week brings in employers and alumni to discuss real-time sector changes, innovation, and sustainable practice in all aspects of employment and career development.</w:t>
      </w:r>
    </w:p>
    <w:p w14:paraId="57F4D2AF" w14:textId="70BA787D"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7B0E1777" w14:textId="6A32F1AF" w:rsidR="002E3BDA" w:rsidRDefault="35B911B4" w:rsidP="6BE37F60">
      <w:pPr>
        <w:pStyle w:val="ListParagraph"/>
        <w:numPr>
          <w:ilvl w:val="0"/>
          <w:numId w:val="1"/>
        </w:numPr>
        <w:spacing w:after="0" w:line="276" w:lineRule="auto"/>
        <w:ind w:right="0"/>
        <w:rPr>
          <w:i/>
          <w:iCs/>
        </w:rPr>
      </w:pPr>
      <w:r w:rsidRPr="6BE37F60">
        <w:t xml:space="preserve">Students will be given opportunities to grow their networks within their subject areas and beyond and will be supported to do so in a collaborative partnership between the Student Succes Team, academic colleges and schools, the Students’ Union, student peers, graduates and other key partners including employers and other agencies. For example, </w:t>
      </w:r>
      <w:r w:rsidRPr="6BE37F60">
        <w:rPr>
          <w:i/>
          <w:iCs/>
        </w:rPr>
        <w:t xml:space="preserve">the Student Success </w:t>
      </w:r>
      <w:r w:rsidR="53530D91" w:rsidRPr="6BE37F60">
        <w:rPr>
          <w:i/>
          <w:iCs/>
        </w:rPr>
        <w:t>Team Events</w:t>
      </w:r>
      <w:r w:rsidRPr="6BE37F60">
        <w:rPr>
          <w:i/>
          <w:iCs/>
        </w:rPr>
        <w:t xml:space="preserve"> &amp; Workshops provide interactive spaces for students to connect with employers, alumni, and peers, supported by academic and extracurricular networks.</w:t>
      </w:r>
    </w:p>
    <w:p w14:paraId="55A773B8" w14:textId="21AFAC6C"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3FABB564" w14:textId="474053AE" w:rsidR="002E3BDA" w:rsidRDefault="35B911B4" w:rsidP="118D138F">
      <w:pPr>
        <w:pStyle w:val="ListParagraph"/>
        <w:numPr>
          <w:ilvl w:val="0"/>
          <w:numId w:val="1"/>
        </w:numPr>
        <w:spacing w:after="0" w:line="276" w:lineRule="auto"/>
        <w:ind w:right="0"/>
        <w:rPr>
          <w:i/>
          <w:iCs/>
        </w:rPr>
      </w:pPr>
      <w:r w:rsidRPr="118D138F">
        <w:t xml:space="preserve">The importance of organisations with a culture of health &amp; well-being for a sustainable work life balance that promote a working environment to support our students and graduates to flourish and reach their long-term potential will be highlighted. For example, </w:t>
      </w:r>
      <w:r w:rsidRPr="118D138F">
        <w:rPr>
          <w:i/>
          <w:iCs/>
        </w:rPr>
        <w:t>Bangor University’s People and Wellbeing Strategy 2030 promotes workplace wellbeing principles, encouraging students to seek similar values in prospective employers.</w:t>
      </w:r>
    </w:p>
    <w:p w14:paraId="20330812" w14:textId="5E31D4B8"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185A264B" w14:textId="0AC42E93" w:rsidR="002E3BDA" w:rsidRDefault="35B911B4" w:rsidP="118D138F">
      <w:pPr>
        <w:pStyle w:val="ListParagraph"/>
        <w:numPr>
          <w:ilvl w:val="0"/>
          <w:numId w:val="1"/>
        </w:numPr>
        <w:spacing w:after="0" w:line="276" w:lineRule="auto"/>
        <w:ind w:right="0"/>
        <w:rPr>
          <w:i/>
          <w:iCs/>
        </w:rPr>
      </w:pPr>
      <w:r w:rsidRPr="118D138F">
        <w:t>As part of a global community of staff, students and graduates, by considering our everyday actions we can reflect and review our contribution and enhance our collective impact. For example, r</w:t>
      </w:r>
      <w:r w:rsidRPr="118D138F">
        <w:rPr>
          <w:i/>
          <w:iCs/>
        </w:rPr>
        <w:t xml:space="preserve">anked in the top 11% globally for </w:t>
      </w:r>
      <w:r w:rsidRPr="118D138F">
        <w:rPr>
          <w:i/>
          <w:iCs/>
        </w:rPr>
        <w:lastRenderedPageBreak/>
        <w:t>sustainability (QS Sustainability Rankings 2025), Bangor University encourages students to consider the global impact of personal and career choices.</w:t>
      </w:r>
    </w:p>
    <w:p w14:paraId="73398782" w14:textId="54BF3CEC" w:rsidR="002E3BDA" w:rsidRDefault="35B911B4" w:rsidP="118D138F">
      <w:pPr>
        <w:spacing w:after="0" w:line="276" w:lineRule="auto"/>
        <w:ind w:left="720" w:right="0"/>
      </w:pPr>
      <w:r w:rsidRPr="118D138F">
        <w:rPr>
          <w:rFonts w:ascii="Calibri" w:eastAsia="Calibri" w:hAnsi="Calibri" w:cs="Calibri"/>
          <w:i/>
          <w:iCs/>
          <w:sz w:val="22"/>
          <w:szCs w:val="22"/>
        </w:rPr>
        <w:t xml:space="preserve"> </w:t>
      </w:r>
    </w:p>
    <w:p w14:paraId="6A84A3FB" w14:textId="44A506B3" w:rsidR="002E3BDA" w:rsidRDefault="35B911B4" w:rsidP="6BE37F60">
      <w:pPr>
        <w:pStyle w:val="ListParagraph"/>
        <w:numPr>
          <w:ilvl w:val="0"/>
          <w:numId w:val="1"/>
        </w:numPr>
        <w:spacing w:after="0" w:line="276" w:lineRule="auto"/>
        <w:ind w:right="0"/>
        <w:rPr>
          <w:i/>
          <w:iCs/>
        </w:rPr>
      </w:pPr>
      <w:r w:rsidRPr="6BE37F60">
        <w:t xml:space="preserve">There will be recording, monitoring and </w:t>
      </w:r>
      <w:r w:rsidR="4BC55F6E" w:rsidRPr="6BE37F60">
        <w:t>evaluation</w:t>
      </w:r>
      <w:r w:rsidRPr="6BE37F60">
        <w:t xml:space="preserve"> to ensure the </w:t>
      </w:r>
      <w:r w:rsidR="363D3000" w:rsidRPr="6BE37F60">
        <w:t>long-term</w:t>
      </w:r>
      <w:r w:rsidRPr="6BE37F60">
        <w:t xml:space="preserve"> continuous growth and development within the context of sustainable social, environmental and economic responsibility. For example, </w:t>
      </w:r>
      <w:r w:rsidRPr="6BE37F60">
        <w:rPr>
          <w:i/>
          <w:iCs/>
        </w:rPr>
        <w:t>Bangor University publishes Sustainable Development Goals Progress Reports and regularly evaluates its institutional sustainability metrics, providing a model of accountability and growth.</w:t>
      </w:r>
    </w:p>
    <w:p w14:paraId="739463DF" w14:textId="67905AEC" w:rsidR="6BE37F60" w:rsidRDefault="002E3BDA" w:rsidP="002743FD">
      <w:pPr>
        <w:spacing w:after="160" w:line="276" w:lineRule="auto"/>
        <w:ind w:left="0" w:firstLine="0"/>
      </w:pPr>
      <w:r>
        <w:t xml:space="preserve"> </w:t>
      </w:r>
    </w:p>
    <w:p w14:paraId="1D7A0C39" w14:textId="1A9E2203" w:rsidR="002E3BDA" w:rsidRDefault="002E3BDA" w:rsidP="00AF26FA">
      <w:pPr>
        <w:spacing w:after="16" w:line="259" w:lineRule="auto"/>
        <w:ind w:left="0" w:right="0" w:firstLine="0"/>
      </w:pPr>
    </w:p>
    <w:p w14:paraId="6E33BAA0" w14:textId="77777777" w:rsidR="002E3BDA" w:rsidRDefault="002E3BDA" w:rsidP="002E3BDA">
      <w:pPr>
        <w:ind w:left="144" w:right="0"/>
      </w:pPr>
      <w:r>
        <w:t xml:space="preserve">DEFINITIONS </w:t>
      </w:r>
    </w:p>
    <w:p w14:paraId="58798711" w14:textId="782D2C35" w:rsidR="002E3BDA" w:rsidRDefault="002E3BDA" w:rsidP="6BE37F60">
      <w:pPr>
        <w:spacing w:after="18" w:line="259" w:lineRule="auto"/>
        <w:ind w:left="149" w:right="0" w:firstLine="0"/>
      </w:pPr>
      <w:r>
        <w:t xml:space="preserve"> </w:t>
      </w:r>
    </w:p>
    <w:p w14:paraId="648873DF" w14:textId="42569CBF" w:rsidR="002E3BDA" w:rsidRDefault="69053EDB" w:rsidP="6BE37F60">
      <w:pPr>
        <w:ind w:left="144" w:right="0"/>
      </w:pPr>
      <w:r w:rsidRPr="6BE37F60">
        <w:rPr>
          <w:b/>
          <w:bCs/>
        </w:rPr>
        <w:t>'CEIG'</w:t>
      </w:r>
      <w:r w:rsidRPr="6BE37F60">
        <w:t xml:space="preserve"> – Careers Education, Information, and Guidance; a range of structured services, activities, and resources provided by Bangor University to support students and graduates in making informed, impartial career decisions.</w:t>
      </w:r>
    </w:p>
    <w:p w14:paraId="123C20EF" w14:textId="45528B05" w:rsidR="002E3BDA" w:rsidRDefault="69053EDB" w:rsidP="6BE37F60">
      <w:pPr>
        <w:ind w:left="144" w:right="0"/>
      </w:pPr>
      <w:r w:rsidRPr="6BE37F60">
        <w:rPr>
          <w:b/>
          <w:bCs/>
        </w:rPr>
        <w:t>'</w:t>
      </w:r>
      <w:proofErr w:type="spellStart"/>
      <w:r w:rsidRPr="6BE37F60">
        <w:rPr>
          <w:b/>
          <w:bCs/>
        </w:rPr>
        <w:t>CareerConnect</w:t>
      </w:r>
      <w:proofErr w:type="spellEnd"/>
      <w:r w:rsidRPr="6BE37F60">
        <w:rPr>
          <w:b/>
          <w:bCs/>
        </w:rPr>
        <w:t>'</w:t>
      </w:r>
      <w:r w:rsidRPr="6BE37F60">
        <w:t xml:space="preserve"> – A digital platform used for managing career planning, recording achievements, accessing resources, and evaluating employers’ sustainability and inclusivity credentials.</w:t>
      </w:r>
    </w:p>
    <w:p w14:paraId="29D18587" w14:textId="3CC51485" w:rsidR="002E3BDA" w:rsidRDefault="69053EDB" w:rsidP="6BE37F60">
      <w:pPr>
        <w:ind w:left="144" w:right="0"/>
      </w:pPr>
      <w:r w:rsidRPr="6BE37F60">
        <w:rPr>
          <w:b/>
          <w:bCs/>
        </w:rPr>
        <w:t>'</w:t>
      </w:r>
      <w:proofErr w:type="spellStart"/>
      <w:r w:rsidRPr="6BE37F60">
        <w:rPr>
          <w:b/>
          <w:bCs/>
        </w:rPr>
        <w:t>CareerSet</w:t>
      </w:r>
      <w:proofErr w:type="spellEnd"/>
      <w:r w:rsidRPr="6BE37F60">
        <w:rPr>
          <w:b/>
          <w:bCs/>
        </w:rPr>
        <w:t>'</w:t>
      </w:r>
      <w:r w:rsidRPr="6BE37F60">
        <w:t xml:space="preserve"> – An online resource offering tailored career guidance, CV and interview support for students and graduates.</w:t>
      </w:r>
    </w:p>
    <w:p w14:paraId="6E5D3482" w14:textId="0E15D33E" w:rsidR="002E3BDA" w:rsidRDefault="69053EDB" w:rsidP="6BE37F60">
      <w:pPr>
        <w:ind w:left="144" w:right="0"/>
      </w:pPr>
      <w:r w:rsidRPr="6BE37F60">
        <w:rPr>
          <w:b/>
          <w:bCs/>
        </w:rPr>
        <w:t>'Grads First'</w:t>
      </w:r>
      <w:r w:rsidRPr="6BE37F60">
        <w:t xml:space="preserve"> – A digital tool to support students and graduates in career management, job search, and employability development.</w:t>
      </w:r>
    </w:p>
    <w:p w14:paraId="1D43F6A6" w14:textId="7B9C5307" w:rsidR="002E3BDA" w:rsidRDefault="69053EDB" w:rsidP="6BE37F60">
      <w:pPr>
        <w:ind w:left="144" w:right="0"/>
      </w:pPr>
      <w:r w:rsidRPr="6BE37F60">
        <w:rPr>
          <w:b/>
          <w:bCs/>
        </w:rPr>
        <w:t>'Impartiality'</w:t>
      </w:r>
      <w:r w:rsidRPr="6BE37F60">
        <w:t xml:space="preserve"> – Providing guidance, advice, and support without favouring any </w:t>
      </w:r>
      <w:proofErr w:type="gramStart"/>
      <w:r w:rsidRPr="6BE37F60">
        <w:t>particular employer</w:t>
      </w:r>
      <w:proofErr w:type="gramEnd"/>
      <w:r w:rsidRPr="6BE37F60">
        <w:t>, sector, or career path, ensuring fair and unbiased access to all students and graduates.</w:t>
      </w:r>
    </w:p>
    <w:p w14:paraId="0B408E5E" w14:textId="173011D5" w:rsidR="002E3BDA" w:rsidRDefault="69053EDB" w:rsidP="6BE37F60">
      <w:pPr>
        <w:ind w:left="144" w:right="0"/>
      </w:pPr>
      <w:r w:rsidRPr="6BE37F60">
        <w:rPr>
          <w:b/>
          <w:bCs/>
        </w:rPr>
        <w:t>'Sustainable Careers'</w:t>
      </w:r>
      <w:r w:rsidRPr="6BE37F60">
        <w:t xml:space="preserve"> – Careers that are designed to be long-lasting and allow individuals to thrive while contributing positively to society and the environment, considering social responsibility, economic resilience, personal wellbeing, and adaptability.</w:t>
      </w:r>
    </w:p>
    <w:p w14:paraId="6494F5D3" w14:textId="06E5197A" w:rsidR="002E3BDA" w:rsidRDefault="69053EDB" w:rsidP="6BE37F60">
      <w:pPr>
        <w:ind w:left="144" w:right="0"/>
      </w:pPr>
      <w:r w:rsidRPr="6BE37F60">
        <w:rPr>
          <w:b/>
          <w:bCs/>
        </w:rPr>
        <w:t>'UN Sustainable Development Goals (SDGs)'</w:t>
      </w:r>
      <w:r w:rsidRPr="6BE37F60">
        <w:t xml:space="preserve"> – A global framework of 17 goals adopted by the United Nations to address urgent social, economic, and environmental challenges, encouraging institutions and individuals to act sustainably.</w:t>
      </w:r>
    </w:p>
    <w:p w14:paraId="069DA151" w14:textId="1244EED6" w:rsidR="002E3BDA" w:rsidRDefault="69053EDB" w:rsidP="6BE37F60">
      <w:pPr>
        <w:ind w:left="144" w:right="0"/>
      </w:pPr>
      <w:r w:rsidRPr="6BE37F60">
        <w:rPr>
          <w:b/>
          <w:bCs/>
        </w:rPr>
        <w:t>'Values-based Decision Making'</w:t>
      </w:r>
      <w:r w:rsidRPr="6BE37F60">
        <w:t xml:space="preserve"> – The process of choosing employers, roles, or career paths that align with an individual’s personal ethics, beliefs, and priorities, including sustainability, wellbeing, and diversity considerations.</w:t>
      </w:r>
    </w:p>
    <w:p w14:paraId="0E00F545" w14:textId="541E5307" w:rsidR="002E3BDA" w:rsidRDefault="69053EDB" w:rsidP="6BE37F60">
      <w:pPr>
        <w:ind w:left="144" w:right="0"/>
      </w:pPr>
      <w:r w:rsidRPr="6BE37F60">
        <w:rPr>
          <w:b/>
          <w:bCs/>
        </w:rPr>
        <w:t>'Well-being of Future Generations Act (Wales) 2015'</w:t>
      </w:r>
      <w:r w:rsidRPr="6BE37F60">
        <w:t xml:space="preserve"> – A Welsh law promoting long-term thinking in public services, ensuring decisions contribute to a sustainable, healthy, equitable, and resilient society for current and future generations.</w:t>
      </w:r>
    </w:p>
    <w:p w14:paraId="4530C8E2" w14:textId="351977D2" w:rsidR="002E3BDA" w:rsidRDefault="69053EDB" w:rsidP="002E3BDA">
      <w:pPr>
        <w:ind w:left="144" w:right="0"/>
      </w:pPr>
      <w:r w:rsidRPr="6BE37F60">
        <w:rPr>
          <w:b/>
          <w:bCs/>
        </w:rPr>
        <w:t>'Windo'</w:t>
      </w:r>
      <w:r w:rsidRPr="6BE37F60">
        <w:t xml:space="preserve"> – A social enterprise platform providing in-depth analysis of employers’ environmental impact, diversity, equality and inclusion, and employee wellbeing, supporting informed career </w:t>
      </w:r>
      <w:r w:rsidR="354220E5">
        <w:t>choice.</w:t>
      </w:r>
    </w:p>
    <w:p w14:paraId="49B17E81" w14:textId="11BBFC5C" w:rsidR="002E3BDA" w:rsidRDefault="002E3BDA" w:rsidP="00AF26FA">
      <w:pPr>
        <w:spacing w:after="31" w:line="259" w:lineRule="auto"/>
        <w:ind w:left="149" w:right="0" w:firstLine="0"/>
      </w:pPr>
      <w:r>
        <w:t xml:space="preserve"> </w:t>
      </w:r>
    </w:p>
    <w:sectPr w:rsidR="002E3BDA" w:rsidSect="002E3BDA">
      <w:footerReference w:type="even" r:id="rId14"/>
      <w:footerReference w:type="default" r:id="rId15"/>
      <w:footerReference w:type="first" r:id="rId16"/>
      <w:pgSz w:w="11906" w:h="16838"/>
      <w:pgMar w:top="1095" w:right="1438" w:bottom="1438" w:left="129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91FD" w14:textId="77777777" w:rsidR="00775DE6" w:rsidRDefault="00775DE6">
      <w:pPr>
        <w:spacing w:after="0" w:line="240" w:lineRule="auto"/>
      </w:pPr>
      <w:r>
        <w:separator/>
      </w:r>
    </w:p>
  </w:endnote>
  <w:endnote w:type="continuationSeparator" w:id="0">
    <w:p w14:paraId="0A8AC50C" w14:textId="77777777" w:rsidR="00775DE6" w:rsidRDefault="00775DE6">
      <w:pPr>
        <w:spacing w:after="0" w:line="240" w:lineRule="auto"/>
      </w:pPr>
      <w:r>
        <w:continuationSeparator/>
      </w:r>
    </w:p>
  </w:endnote>
  <w:endnote w:type="continuationNotice" w:id="1">
    <w:p w14:paraId="49CAE945" w14:textId="77777777" w:rsidR="00775DE6" w:rsidRDefault="00775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EF3C" w14:textId="77777777" w:rsidR="00A50E4F" w:rsidRDefault="006C7357">
    <w:pPr>
      <w:spacing w:after="0" w:line="259" w:lineRule="auto"/>
      <w:ind w:left="146" w:right="0"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0"/>
      </w:rPr>
      <w:t xml:space="preserve"> </w:t>
    </w:r>
  </w:p>
  <w:p w14:paraId="243C9881" w14:textId="77777777" w:rsidR="00A50E4F" w:rsidRDefault="006C7357">
    <w:pPr>
      <w:spacing w:after="0" w:line="259" w:lineRule="auto"/>
      <w:ind w:left="149"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C450" w14:textId="77777777" w:rsidR="00A50E4F" w:rsidRDefault="006C7357">
    <w:pPr>
      <w:spacing w:after="0" w:line="259" w:lineRule="auto"/>
      <w:ind w:left="146" w:right="0"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0"/>
      </w:rPr>
      <w:t xml:space="preserve"> </w:t>
    </w:r>
  </w:p>
  <w:p w14:paraId="1AE117B8" w14:textId="77777777" w:rsidR="00A50E4F" w:rsidRDefault="006C7357">
    <w:pPr>
      <w:spacing w:after="0" w:line="259" w:lineRule="auto"/>
      <w:ind w:left="149"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628C" w14:textId="77777777" w:rsidR="00A50E4F" w:rsidRDefault="006C7357">
    <w:pPr>
      <w:spacing w:after="0" w:line="259" w:lineRule="auto"/>
      <w:ind w:left="146" w:right="0"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0"/>
      </w:rPr>
      <w:t xml:space="preserve"> </w:t>
    </w:r>
  </w:p>
  <w:p w14:paraId="31757CC9" w14:textId="77777777" w:rsidR="00A50E4F" w:rsidRDefault="006C7357">
    <w:pPr>
      <w:spacing w:after="0" w:line="259" w:lineRule="auto"/>
      <w:ind w:left="149"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57F6" w14:textId="77777777" w:rsidR="00775DE6" w:rsidRDefault="00775DE6">
      <w:pPr>
        <w:spacing w:after="0" w:line="240" w:lineRule="auto"/>
      </w:pPr>
      <w:r>
        <w:separator/>
      </w:r>
    </w:p>
  </w:footnote>
  <w:footnote w:type="continuationSeparator" w:id="0">
    <w:p w14:paraId="0B8638D8" w14:textId="77777777" w:rsidR="00775DE6" w:rsidRDefault="00775DE6">
      <w:pPr>
        <w:spacing w:after="0" w:line="240" w:lineRule="auto"/>
      </w:pPr>
      <w:r>
        <w:continuationSeparator/>
      </w:r>
    </w:p>
  </w:footnote>
  <w:footnote w:type="continuationNotice" w:id="1">
    <w:p w14:paraId="1712579D" w14:textId="77777777" w:rsidR="00775DE6" w:rsidRDefault="00775D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506A"/>
    <w:multiLevelType w:val="hybridMultilevel"/>
    <w:tmpl w:val="162C15B8"/>
    <w:lvl w:ilvl="0" w:tplc="91EC7720">
      <w:start w:val="1"/>
      <w:numFmt w:val="decimal"/>
      <w:lvlText w:val="%1."/>
      <w:lvlJc w:val="left"/>
      <w:pPr>
        <w:ind w:left="720" w:hanging="360"/>
      </w:pPr>
    </w:lvl>
    <w:lvl w:ilvl="1" w:tplc="6AA48FD6">
      <w:start w:val="1"/>
      <w:numFmt w:val="lowerLetter"/>
      <w:lvlText w:val="%2."/>
      <w:lvlJc w:val="left"/>
      <w:pPr>
        <w:ind w:left="1440" w:hanging="360"/>
      </w:pPr>
    </w:lvl>
    <w:lvl w:ilvl="2" w:tplc="9D0C4A68">
      <w:start w:val="1"/>
      <w:numFmt w:val="lowerRoman"/>
      <w:lvlText w:val="%3."/>
      <w:lvlJc w:val="right"/>
      <w:pPr>
        <w:ind w:left="2160" w:hanging="180"/>
      </w:pPr>
    </w:lvl>
    <w:lvl w:ilvl="3" w:tplc="FF40CB7E">
      <w:start w:val="1"/>
      <w:numFmt w:val="decimal"/>
      <w:lvlText w:val="%4."/>
      <w:lvlJc w:val="left"/>
      <w:pPr>
        <w:ind w:left="2880" w:hanging="360"/>
      </w:pPr>
    </w:lvl>
    <w:lvl w:ilvl="4" w:tplc="59020F66">
      <w:start w:val="1"/>
      <w:numFmt w:val="lowerLetter"/>
      <w:lvlText w:val="%5."/>
      <w:lvlJc w:val="left"/>
      <w:pPr>
        <w:ind w:left="3600" w:hanging="360"/>
      </w:pPr>
    </w:lvl>
    <w:lvl w:ilvl="5" w:tplc="155A75A8">
      <w:start w:val="1"/>
      <w:numFmt w:val="lowerRoman"/>
      <w:lvlText w:val="%6."/>
      <w:lvlJc w:val="right"/>
      <w:pPr>
        <w:ind w:left="4320" w:hanging="180"/>
      </w:pPr>
    </w:lvl>
    <w:lvl w:ilvl="6" w:tplc="30407BA0">
      <w:start w:val="1"/>
      <w:numFmt w:val="decimal"/>
      <w:lvlText w:val="%7."/>
      <w:lvlJc w:val="left"/>
      <w:pPr>
        <w:ind w:left="5040" w:hanging="360"/>
      </w:pPr>
    </w:lvl>
    <w:lvl w:ilvl="7" w:tplc="45FE7F10">
      <w:start w:val="1"/>
      <w:numFmt w:val="lowerLetter"/>
      <w:lvlText w:val="%8."/>
      <w:lvlJc w:val="left"/>
      <w:pPr>
        <w:ind w:left="5760" w:hanging="360"/>
      </w:pPr>
    </w:lvl>
    <w:lvl w:ilvl="8" w:tplc="1D186FD4">
      <w:start w:val="1"/>
      <w:numFmt w:val="lowerRoman"/>
      <w:lvlText w:val="%9."/>
      <w:lvlJc w:val="right"/>
      <w:pPr>
        <w:ind w:left="6480" w:hanging="180"/>
      </w:pPr>
    </w:lvl>
  </w:abstractNum>
  <w:abstractNum w:abstractNumId="1" w15:restartNumberingAfterBreak="0">
    <w:nsid w:val="4629A2D7"/>
    <w:multiLevelType w:val="hybridMultilevel"/>
    <w:tmpl w:val="09DA4D6C"/>
    <w:lvl w:ilvl="0" w:tplc="83C4818E">
      <w:start w:val="1"/>
      <w:numFmt w:val="bullet"/>
      <w:lvlText w:val="·"/>
      <w:lvlJc w:val="left"/>
      <w:pPr>
        <w:ind w:left="720" w:hanging="360"/>
      </w:pPr>
      <w:rPr>
        <w:rFonts w:ascii="Symbol" w:hAnsi="Symbol" w:hint="default"/>
      </w:rPr>
    </w:lvl>
    <w:lvl w:ilvl="1" w:tplc="908011EA">
      <w:start w:val="1"/>
      <w:numFmt w:val="bullet"/>
      <w:lvlText w:val="o"/>
      <w:lvlJc w:val="left"/>
      <w:pPr>
        <w:ind w:left="1440" w:hanging="360"/>
      </w:pPr>
      <w:rPr>
        <w:rFonts w:ascii="Courier New" w:hAnsi="Courier New" w:hint="default"/>
      </w:rPr>
    </w:lvl>
    <w:lvl w:ilvl="2" w:tplc="B5ECC58C">
      <w:start w:val="1"/>
      <w:numFmt w:val="bullet"/>
      <w:lvlText w:val=""/>
      <w:lvlJc w:val="left"/>
      <w:pPr>
        <w:ind w:left="2160" w:hanging="360"/>
      </w:pPr>
      <w:rPr>
        <w:rFonts w:ascii="Wingdings" w:hAnsi="Wingdings" w:hint="default"/>
      </w:rPr>
    </w:lvl>
    <w:lvl w:ilvl="3" w:tplc="11F653F0">
      <w:start w:val="1"/>
      <w:numFmt w:val="bullet"/>
      <w:lvlText w:val=""/>
      <w:lvlJc w:val="left"/>
      <w:pPr>
        <w:ind w:left="2880" w:hanging="360"/>
      </w:pPr>
      <w:rPr>
        <w:rFonts w:ascii="Symbol" w:hAnsi="Symbol" w:hint="default"/>
      </w:rPr>
    </w:lvl>
    <w:lvl w:ilvl="4" w:tplc="7954F92C">
      <w:start w:val="1"/>
      <w:numFmt w:val="bullet"/>
      <w:lvlText w:val="o"/>
      <w:lvlJc w:val="left"/>
      <w:pPr>
        <w:ind w:left="3600" w:hanging="360"/>
      </w:pPr>
      <w:rPr>
        <w:rFonts w:ascii="Courier New" w:hAnsi="Courier New" w:hint="default"/>
      </w:rPr>
    </w:lvl>
    <w:lvl w:ilvl="5" w:tplc="C324C312">
      <w:start w:val="1"/>
      <w:numFmt w:val="bullet"/>
      <w:lvlText w:val=""/>
      <w:lvlJc w:val="left"/>
      <w:pPr>
        <w:ind w:left="4320" w:hanging="360"/>
      </w:pPr>
      <w:rPr>
        <w:rFonts w:ascii="Wingdings" w:hAnsi="Wingdings" w:hint="default"/>
      </w:rPr>
    </w:lvl>
    <w:lvl w:ilvl="6" w:tplc="0CAEC5DC">
      <w:start w:val="1"/>
      <w:numFmt w:val="bullet"/>
      <w:lvlText w:val=""/>
      <w:lvlJc w:val="left"/>
      <w:pPr>
        <w:ind w:left="5040" w:hanging="360"/>
      </w:pPr>
      <w:rPr>
        <w:rFonts w:ascii="Symbol" w:hAnsi="Symbol" w:hint="default"/>
      </w:rPr>
    </w:lvl>
    <w:lvl w:ilvl="7" w:tplc="091E2FAA">
      <w:start w:val="1"/>
      <w:numFmt w:val="bullet"/>
      <w:lvlText w:val="o"/>
      <w:lvlJc w:val="left"/>
      <w:pPr>
        <w:ind w:left="5760" w:hanging="360"/>
      </w:pPr>
      <w:rPr>
        <w:rFonts w:ascii="Courier New" w:hAnsi="Courier New" w:hint="default"/>
      </w:rPr>
    </w:lvl>
    <w:lvl w:ilvl="8" w:tplc="0B0E57EC">
      <w:start w:val="1"/>
      <w:numFmt w:val="bullet"/>
      <w:lvlText w:val=""/>
      <w:lvlJc w:val="left"/>
      <w:pPr>
        <w:ind w:left="6480" w:hanging="360"/>
      </w:pPr>
      <w:rPr>
        <w:rFonts w:ascii="Wingdings" w:hAnsi="Wingdings" w:hint="default"/>
      </w:rPr>
    </w:lvl>
  </w:abstractNum>
  <w:abstractNum w:abstractNumId="2" w15:restartNumberingAfterBreak="0">
    <w:nsid w:val="547E2B29"/>
    <w:multiLevelType w:val="hybridMultilevel"/>
    <w:tmpl w:val="EF5055DA"/>
    <w:lvl w:ilvl="0" w:tplc="1C58E36C">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663B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9210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E248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4F3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FA51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9AD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64FE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866A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79726617">
    <w:abstractNumId w:val="0"/>
  </w:num>
  <w:num w:numId="2" w16cid:durableId="808933920">
    <w:abstractNumId w:val="1"/>
  </w:num>
  <w:num w:numId="3" w16cid:durableId="199899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DA"/>
    <w:rsid w:val="00002551"/>
    <w:rsid w:val="000966BD"/>
    <w:rsid w:val="000A587C"/>
    <w:rsid w:val="000B2F90"/>
    <w:rsid w:val="000C148B"/>
    <w:rsid w:val="000E2F2F"/>
    <w:rsid w:val="000E5D1A"/>
    <w:rsid w:val="000F62AB"/>
    <w:rsid w:val="00120289"/>
    <w:rsid w:val="001362D4"/>
    <w:rsid w:val="001373B9"/>
    <w:rsid w:val="0014701B"/>
    <w:rsid w:val="001A0748"/>
    <w:rsid w:val="001A5A41"/>
    <w:rsid w:val="001D4E58"/>
    <w:rsid w:val="001F1AC0"/>
    <w:rsid w:val="00223F8E"/>
    <w:rsid w:val="00250B7B"/>
    <w:rsid w:val="002743FD"/>
    <w:rsid w:val="002931E3"/>
    <w:rsid w:val="0029338F"/>
    <w:rsid w:val="00295227"/>
    <w:rsid w:val="002D7F3E"/>
    <w:rsid w:val="002E3BDA"/>
    <w:rsid w:val="00315156"/>
    <w:rsid w:val="00330D8D"/>
    <w:rsid w:val="003430DB"/>
    <w:rsid w:val="003912DC"/>
    <w:rsid w:val="003C3450"/>
    <w:rsid w:val="004357E9"/>
    <w:rsid w:val="00465181"/>
    <w:rsid w:val="00472355"/>
    <w:rsid w:val="004A35E2"/>
    <w:rsid w:val="004A53D3"/>
    <w:rsid w:val="004B205D"/>
    <w:rsid w:val="004D04CD"/>
    <w:rsid w:val="00525916"/>
    <w:rsid w:val="005851E8"/>
    <w:rsid w:val="005C6E28"/>
    <w:rsid w:val="005E4C6C"/>
    <w:rsid w:val="00602809"/>
    <w:rsid w:val="00615664"/>
    <w:rsid w:val="00643147"/>
    <w:rsid w:val="00655BEA"/>
    <w:rsid w:val="006A1E59"/>
    <w:rsid w:val="006A480D"/>
    <w:rsid w:val="006C4AB4"/>
    <w:rsid w:val="006C7357"/>
    <w:rsid w:val="006D4F6C"/>
    <w:rsid w:val="006E40EF"/>
    <w:rsid w:val="006E56FF"/>
    <w:rsid w:val="00752EF5"/>
    <w:rsid w:val="00775DE6"/>
    <w:rsid w:val="007C0C1D"/>
    <w:rsid w:val="007E6F49"/>
    <w:rsid w:val="007F7CD8"/>
    <w:rsid w:val="008007C8"/>
    <w:rsid w:val="00823BA8"/>
    <w:rsid w:val="00844725"/>
    <w:rsid w:val="00892273"/>
    <w:rsid w:val="008E0485"/>
    <w:rsid w:val="008E278C"/>
    <w:rsid w:val="008F7CF8"/>
    <w:rsid w:val="00945EFA"/>
    <w:rsid w:val="009842F2"/>
    <w:rsid w:val="00A05C7F"/>
    <w:rsid w:val="00A0EB89"/>
    <w:rsid w:val="00A12652"/>
    <w:rsid w:val="00A21AC5"/>
    <w:rsid w:val="00A27782"/>
    <w:rsid w:val="00A30E40"/>
    <w:rsid w:val="00A50E4F"/>
    <w:rsid w:val="00AB507A"/>
    <w:rsid w:val="00AC19CB"/>
    <w:rsid w:val="00AC45C7"/>
    <w:rsid w:val="00AF26FA"/>
    <w:rsid w:val="00B24F3E"/>
    <w:rsid w:val="00B33D77"/>
    <w:rsid w:val="00B37F50"/>
    <w:rsid w:val="00B8518A"/>
    <w:rsid w:val="00B957DC"/>
    <w:rsid w:val="00BD1827"/>
    <w:rsid w:val="00C0439F"/>
    <w:rsid w:val="00C24681"/>
    <w:rsid w:val="00C7715C"/>
    <w:rsid w:val="00C93892"/>
    <w:rsid w:val="00CD4C1E"/>
    <w:rsid w:val="00CD5818"/>
    <w:rsid w:val="00CDD58B"/>
    <w:rsid w:val="00CF48FF"/>
    <w:rsid w:val="00CF6078"/>
    <w:rsid w:val="00D26FE6"/>
    <w:rsid w:val="00D30E87"/>
    <w:rsid w:val="00D40DB4"/>
    <w:rsid w:val="00D60868"/>
    <w:rsid w:val="00D76189"/>
    <w:rsid w:val="00D9695B"/>
    <w:rsid w:val="00DA6B01"/>
    <w:rsid w:val="00DA7CC6"/>
    <w:rsid w:val="00DB0AB5"/>
    <w:rsid w:val="00DB66F0"/>
    <w:rsid w:val="00DE09B8"/>
    <w:rsid w:val="00E05E8E"/>
    <w:rsid w:val="00E11A43"/>
    <w:rsid w:val="00E27B30"/>
    <w:rsid w:val="00E31AD5"/>
    <w:rsid w:val="00E32F3E"/>
    <w:rsid w:val="00E3336D"/>
    <w:rsid w:val="00E45DA6"/>
    <w:rsid w:val="00E77C89"/>
    <w:rsid w:val="00EB45B8"/>
    <w:rsid w:val="00EC28BB"/>
    <w:rsid w:val="00EE754D"/>
    <w:rsid w:val="00EF59DB"/>
    <w:rsid w:val="00F175AC"/>
    <w:rsid w:val="00F45408"/>
    <w:rsid w:val="00F56CE3"/>
    <w:rsid w:val="030132F8"/>
    <w:rsid w:val="03D98076"/>
    <w:rsid w:val="03DCF120"/>
    <w:rsid w:val="03F6CCA7"/>
    <w:rsid w:val="05146201"/>
    <w:rsid w:val="0604F48D"/>
    <w:rsid w:val="06555BCD"/>
    <w:rsid w:val="06849373"/>
    <w:rsid w:val="069DC0A5"/>
    <w:rsid w:val="0746CDE2"/>
    <w:rsid w:val="077F68A5"/>
    <w:rsid w:val="08D03165"/>
    <w:rsid w:val="0A5F031E"/>
    <w:rsid w:val="0A78630A"/>
    <w:rsid w:val="0C8174E9"/>
    <w:rsid w:val="0D544037"/>
    <w:rsid w:val="0E0F1482"/>
    <w:rsid w:val="0E1C5DB7"/>
    <w:rsid w:val="10B5389F"/>
    <w:rsid w:val="118D138F"/>
    <w:rsid w:val="123AD40C"/>
    <w:rsid w:val="127144E0"/>
    <w:rsid w:val="161AEADB"/>
    <w:rsid w:val="162BB8AB"/>
    <w:rsid w:val="16884441"/>
    <w:rsid w:val="18C65014"/>
    <w:rsid w:val="1A0DC7F4"/>
    <w:rsid w:val="1AD522E3"/>
    <w:rsid w:val="1C55BDD8"/>
    <w:rsid w:val="1D327A73"/>
    <w:rsid w:val="1D96A5DD"/>
    <w:rsid w:val="1E0E26CD"/>
    <w:rsid w:val="1EFC8DA3"/>
    <w:rsid w:val="22BAA040"/>
    <w:rsid w:val="24429609"/>
    <w:rsid w:val="2444A584"/>
    <w:rsid w:val="2539965A"/>
    <w:rsid w:val="263B54C3"/>
    <w:rsid w:val="2755E498"/>
    <w:rsid w:val="2848F50E"/>
    <w:rsid w:val="28AA61EE"/>
    <w:rsid w:val="28FA189F"/>
    <w:rsid w:val="2965B0E4"/>
    <w:rsid w:val="2B4A57C1"/>
    <w:rsid w:val="2BB22149"/>
    <w:rsid w:val="2CC2AAA9"/>
    <w:rsid w:val="2DB159F8"/>
    <w:rsid w:val="2F819538"/>
    <w:rsid w:val="31B424EC"/>
    <w:rsid w:val="320F188A"/>
    <w:rsid w:val="34DB8992"/>
    <w:rsid w:val="34F4277B"/>
    <w:rsid w:val="354220E5"/>
    <w:rsid w:val="3561252B"/>
    <w:rsid w:val="35B911B4"/>
    <w:rsid w:val="363D3000"/>
    <w:rsid w:val="36A7C647"/>
    <w:rsid w:val="3767320E"/>
    <w:rsid w:val="37F0EA3F"/>
    <w:rsid w:val="3BDBE8B9"/>
    <w:rsid w:val="3CDDC97D"/>
    <w:rsid w:val="3D55EABC"/>
    <w:rsid w:val="3E6CC474"/>
    <w:rsid w:val="3FED51EF"/>
    <w:rsid w:val="417767C7"/>
    <w:rsid w:val="4205E2C2"/>
    <w:rsid w:val="428B182E"/>
    <w:rsid w:val="43320E56"/>
    <w:rsid w:val="434BEA55"/>
    <w:rsid w:val="436B7B0B"/>
    <w:rsid w:val="43F2E091"/>
    <w:rsid w:val="44363352"/>
    <w:rsid w:val="4473538F"/>
    <w:rsid w:val="44AA847F"/>
    <w:rsid w:val="453F257F"/>
    <w:rsid w:val="474277C1"/>
    <w:rsid w:val="47C91528"/>
    <w:rsid w:val="4A4C1060"/>
    <w:rsid w:val="4A94010E"/>
    <w:rsid w:val="4BA79B1F"/>
    <w:rsid w:val="4BC55F6E"/>
    <w:rsid w:val="4BD5890F"/>
    <w:rsid w:val="4BDB8938"/>
    <w:rsid w:val="4C6D593C"/>
    <w:rsid w:val="4E6D54D0"/>
    <w:rsid w:val="4EA8D914"/>
    <w:rsid w:val="503B0065"/>
    <w:rsid w:val="520ED6C1"/>
    <w:rsid w:val="524B2EC2"/>
    <w:rsid w:val="53530D91"/>
    <w:rsid w:val="53570D05"/>
    <w:rsid w:val="53BE67EB"/>
    <w:rsid w:val="55939C74"/>
    <w:rsid w:val="566DF8A6"/>
    <w:rsid w:val="57F63BBB"/>
    <w:rsid w:val="586CF292"/>
    <w:rsid w:val="58836383"/>
    <w:rsid w:val="58BD8B0F"/>
    <w:rsid w:val="5A4CFDBF"/>
    <w:rsid w:val="5C92F7A4"/>
    <w:rsid w:val="5F2D73FE"/>
    <w:rsid w:val="5FAC845B"/>
    <w:rsid w:val="5FE1E78D"/>
    <w:rsid w:val="60AE4002"/>
    <w:rsid w:val="6177B46C"/>
    <w:rsid w:val="63446727"/>
    <w:rsid w:val="64C8FB71"/>
    <w:rsid w:val="6793FB93"/>
    <w:rsid w:val="686A1C66"/>
    <w:rsid w:val="6874CDE3"/>
    <w:rsid w:val="69053EDB"/>
    <w:rsid w:val="6A0F89BE"/>
    <w:rsid w:val="6BE37F60"/>
    <w:rsid w:val="6C390162"/>
    <w:rsid w:val="6D77547C"/>
    <w:rsid w:val="6E7D638F"/>
    <w:rsid w:val="6EA28F5F"/>
    <w:rsid w:val="700D94C8"/>
    <w:rsid w:val="714D0F1F"/>
    <w:rsid w:val="715BD2B1"/>
    <w:rsid w:val="73841248"/>
    <w:rsid w:val="740BFE90"/>
    <w:rsid w:val="7688DE2B"/>
    <w:rsid w:val="784C2678"/>
    <w:rsid w:val="7952CD2F"/>
    <w:rsid w:val="7978F418"/>
    <w:rsid w:val="79EA8566"/>
    <w:rsid w:val="7A91EED4"/>
    <w:rsid w:val="7AD61DBC"/>
    <w:rsid w:val="7B0FDDAB"/>
    <w:rsid w:val="7CEC9676"/>
    <w:rsid w:val="7F5B5116"/>
    <w:rsid w:val="7F9E1F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950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DA"/>
    <w:pPr>
      <w:spacing w:after="5" w:line="270" w:lineRule="auto"/>
      <w:ind w:left="10" w:right="1" w:hanging="10"/>
    </w:pPr>
    <w:rPr>
      <w:rFonts w:ascii="Tahoma" w:eastAsia="Tahoma" w:hAnsi="Tahoma" w:cs="Tahoma"/>
      <w:color w:val="000000"/>
      <w:lang w:eastAsia="en-GB"/>
    </w:rPr>
  </w:style>
  <w:style w:type="paragraph" w:styleId="Heading1">
    <w:name w:val="heading 1"/>
    <w:basedOn w:val="Normal"/>
    <w:next w:val="Normal"/>
    <w:link w:val="Heading1Char"/>
    <w:uiPriority w:val="9"/>
    <w:qFormat/>
    <w:rsid w:val="002E3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BDA"/>
    <w:rPr>
      <w:rFonts w:eastAsiaTheme="majorEastAsia" w:cstheme="majorBidi"/>
      <w:color w:val="272727" w:themeColor="text1" w:themeTint="D8"/>
    </w:rPr>
  </w:style>
  <w:style w:type="paragraph" w:styleId="Title">
    <w:name w:val="Title"/>
    <w:basedOn w:val="Normal"/>
    <w:next w:val="Normal"/>
    <w:link w:val="TitleChar"/>
    <w:uiPriority w:val="10"/>
    <w:qFormat/>
    <w:rsid w:val="002E3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BD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BDA"/>
    <w:pPr>
      <w:spacing w:before="160"/>
      <w:jc w:val="center"/>
    </w:pPr>
    <w:rPr>
      <w:i/>
      <w:iCs/>
      <w:color w:val="404040" w:themeColor="text1" w:themeTint="BF"/>
    </w:rPr>
  </w:style>
  <w:style w:type="character" w:customStyle="1" w:styleId="QuoteChar">
    <w:name w:val="Quote Char"/>
    <w:basedOn w:val="DefaultParagraphFont"/>
    <w:link w:val="Quote"/>
    <w:uiPriority w:val="29"/>
    <w:rsid w:val="002E3BDA"/>
    <w:rPr>
      <w:i/>
      <w:iCs/>
      <w:color w:val="404040" w:themeColor="text1" w:themeTint="BF"/>
    </w:rPr>
  </w:style>
  <w:style w:type="paragraph" w:styleId="ListParagraph">
    <w:name w:val="List Paragraph"/>
    <w:basedOn w:val="Normal"/>
    <w:uiPriority w:val="34"/>
    <w:qFormat/>
    <w:rsid w:val="002E3BDA"/>
    <w:pPr>
      <w:ind w:left="720"/>
      <w:contextualSpacing/>
    </w:pPr>
  </w:style>
  <w:style w:type="character" w:styleId="IntenseEmphasis">
    <w:name w:val="Intense Emphasis"/>
    <w:basedOn w:val="DefaultParagraphFont"/>
    <w:uiPriority w:val="21"/>
    <w:qFormat/>
    <w:rsid w:val="002E3BDA"/>
    <w:rPr>
      <w:i/>
      <w:iCs/>
      <w:color w:val="0F4761" w:themeColor="accent1" w:themeShade="BF"/>
    </w:rPr>
  </w:style>
  <w:style w:type="paragraph" w:styleId="IntenseQuote">
    <w:name w:val="Intense Quote"/>
    <w:basedOn w:val="Normal"/>
    <w:next w:val="Normal"/>
    <w:link w:val="IntenseQuoteChar"/>
    <w:uiPriority w:val="30"/>
    <w:qFormat/>
    <w:rsid w:val="002E3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BDA"/>
    <w:rPr>
      <w:i/>
      <w:iCs/>
      <w:color w:val="0F4761" w:themeColor="accent1" w:themeShade="BF"/>
    </w:rPr>
  </w:style>
  <w:style w:type="character" w:styleId="IntenseReference">
    <w:name w:val="Intense Reference"/>
    <w:basedOn w:val="DefaultParagraphFont"/>
    <w:uiPriority w:val="32"/>
    <w:qFormat/>
    <w:rsid w:val="002E3BDA"/>
    <w:rPr>
      <w:b/>
      <w:bCs/>
      <w:smallCaps/>
      <w:color w:val="0F4761" w:themeColor="accent1" w:themeShade="BF"/>
      <w:spacing w:val="5"/>
    </w:rPr>
  </w:style>
  <w:style w:type="table" w:customStyle="1" w:styleId="TableGrid">
    <w:name w:val="TableGrid"/>
    <w:rsid w:val="002E3BD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6E7D638F"/>
    <w:rPr>
      <w:color w:val="467886"/>
      <w:u w:val="single"/>
    </w:rPr>
  </w:style>
  <w:style w:type="paragraph" w:styleId="Header">
    <w:name w:val="header"/>
    <w:basedOn w:val="Normal"/>
    <w:link w:val="HeaderChar"/>
    <w:uiPriority w:val="99"/>
    <w:semiHidden/>
    <w:unhideWhenUsed/>
    <w:rsid w:val="002D7F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7F3E"/>
    <w:rPr>
      <w:rFonts w:ascii="Tahoma" w:eastAsia="Tahoma" w:hAnsi="Tahoma" w:cs="Tahoma"/>
      <w:color w:val="000000"/>
      <w:lang w:eastAsia="en-GB"/>
    </w:rPr>
  </w:style>
  <w:style w:type="paragraph" w:styleId="Footer">
    <w:name w:val="footer"/>
    <w:basedOn w:val="Normal"/>
    <w:link w:val="FooterChar"/>
    <w:uiPriority w:val="99"/>
    <w:semiHidden/>
    <w:unhideWhenUsed/>
    <w:rsid w:val="002D7F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7F3E"/>
    <w:rPr>
      <w:rFonts w:ascii="Tahoma" w:eastAsia="Tahoma" w:hAnsi="Tahoma" w:cs="Tahoma"/>
      <w:color w:val="000000"/>
      <w:lang w:eastAsia="en-GB"/>
    </w:rPr>
  </w:style>
  <w:style w:type="character" w:styleId="CommentReference">
    <w:name w:val="annotation reference"/>
    <w:basedOn w:val="DefaultParagraphFont"/>
    <w:uiPriority w:val="99"/>
    <w:semiHidden/>
    <w:unhideWhenUsed/>
    <w:rsid w:val="00A27782"/>
    <w:rPr>
      <w:sz w:val="16"/>
      <w:szCs w:val="16"/>
    </w:rPr>
  </w:style>
  <w:style w:type="paragraph" w:styleId="CommentText">
    <w:name w:val="annotation text"/>
    <w:basedOn w:val="Normal"/>
    <w:link w:val="CommentTextChar"/>
    <w:uiPriority w:val="99"/>
    <w:unhideWhenUsed/>
    <w:rsid w:val="00A27782"/>
    <w:pPr>
      <w:spacing w:line="240" w:lineRule="auto"/>
    </w:pPr>
    <w:rPr>
      <w:sz w:val="20"/>
      <w:szCs w:val="20"/>
    </w:rPr>
  </w:style>
  <w:style w:type="character" w:customStyle="1" w:styleId="CommentTextChar">
    <w:name w:val="Comment Text Char"/>
    <w:basedOn w:val="DefaultParagraphFont"/>
    <w:link w:val="CommentText"/>
    <w:uiPriority w:val="99"/>
    <w:rsid w:val="00A27782"/>
    <w:rPr>
      <w:rFonts w:ascii="Tahoma" w:eastAsia="Tahoma" w:hAnsi="Tahoma" w:cs="Tahom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27782"/>
    <w:rPr>
      <w:b/>
      <w:bCs/>
    </w:rPr>
  </w:style>
  <w:style w:type="character" w:customStyle="1" w:styleId="CommentSubjectChar">
    <w:name w:val="Comment Subject Char"/>
    <w:basedOn w:val="CommentTextChar"/>
    <w:link w:val="CommentSubject"/>
    <w:uiPriority w:val="99"/>
    <w:semiHidden/>
    <w:rsid w:val="00A27782"/>
    <w:rPr>
      <w:rFonts w:ascii="Tahoma" w:eastAsia="Tahoma" w:hAnsi="Tahoma" w:cs="Tahoma"/>
      <w:b/>
      <w:bCs/>
      <w:color w:val="000000"/>
      <w:sz w:val="20"/>
      <w:szCs w:val="20"/>
      <w:lang w:eastAsia="en-GB"/>
    </w:rPr>
  </w:style>
  <w:style w:type="character" w:styleId="UnresolvedMention">
    <w:name w:val="Unresolved Mention"/>
    <w:basedOn w:val="DefaultParagraphFont"/>
    <w:uiPriority w:val="99"/>
    <w:semiHidden/>
    <w:unhideWhenUsed/>
    <w:rsid w:val="004A5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dgs.un.org/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turegenerations.wales/discover/about-future-generations-commissioner/future-generations-act-20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srwind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ngor.ac.uk/regulations/codes/documents/BUCode04-2024v1.0.pdf" TargetMode="External"/><Relationship Id="rId4" Type="http://schemas.openxmlformats.org/officeDocument/2006/relationships/settings" Target="settings.xml"/><Relationship Id="rId9" Type="http://schemas.openxmlformats.org/officeDocument/2006/relationships/hyperlink" Target="https://www.bangor.ac.uk/governance-and-compliance/sustainable-careers-employability-policy.php.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EA8C-6B27-4D99-B515-3AF4608D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Links>
    <vt:vector size="30" baseType="variant">
      <vt:variant>
        <vt:i4>1507346</vt:i4>
      </vt:variant>
      <vt:variant>
        <vt:i4>12</vt:i4>
      </vt:variant>
      <vt:variant>
        <vt:i4>0</vt:i4>
      </vt:variant>
      <vt:variant>
        <vt:i4>5</vt:i4>
      </vt:variant>
      <vt:variant>
        <vt:lpwstr>https://sdgs.un.org/about</vt:lpwstr>
      </vt:variant>
      <vt:variant>
        <vt:lpwstr/>
      </vt:variant>
      <vt:variant>
        <vt:i4>2883700</vt:i4>
      </vt:variant>
      <vt:variant>
        <vt:i4>9</vt:i4>
      </vt:variant>
      <vt:variant>
        <vt:i4>0</vt:i4>
      </vt:variant>
      <vt:variant>
        <vt:i4>5</vt:i4>
      </vt:variant>
      <vt:variant>
        <vt:lpwstr>https://futuregenerations.wales/discover/about-future-generations-commissioner/future-generations-act-2015/</vt:lpwstr>
      </vt:variant>
      <vt:variant>
        <vt:lpwstr/>
      </vt:variant>
      <vt:variant>
        <vt:i4>1703944</vt:i4>
      </vt:variant>
      <vt:variant>
        <vt:i4>6</vt:i4>
      </vt:variant>
      <vt:variant>
        <vt:i4>0</vt:i4>
      </vt:variant>
      <vt:variant>
        <vt:i4>5</vt:i4>
      </vt:variant>
      <vt:variant>
        <vt:lpwstr>https://my.csrwindo.com/</vt:lpwstr>
      </vt:variant>
      <vt:variant>
        <vt:lpwstr/>
      </vt:variant>
      <vt:variant>
        <vt:i4>6357045</vt:i4>
      </vt:variant>
      <vt:variant>
        <vt:i4>3</vt:i4>
      </vt:variant>
      <vt:variant>
        <vt:i4>0</vt:i4>
      </vt:variant>
      <vt:variant>
        <vt:i4>5</vt:i4>
      </vt:variant>
      <vt:variant>
        <vt:lpwstr>https://www.bangor.ac.uk/regulations/codes/documents/BUCode04-2024v1.0.pdf</vt:lpwstr>
      </vt:variant>
      <vt:variant>
        <vt:lpwstr/>
      </vt:variant>
      <vt:variant>
        <vt:i4>4587601</vt:i4>
      </vt:variant>
      <vt:variant>
        <vt:i4>0</vt:i4>
      </vt:variant>
      <vt:variant>
        <vt:i4>0</vt:i4>
      </vt:variant>
      <vt:variant>
        <vt:i4>5</vt:i4>
      </vt:variant>
      <vt:variant>
        <vt:lpwstr>https://www.bangor.ac.uk/planning-and-student-data/strategic-plan/documents/strategy-at-a-glance.pdf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2025-10-10T08:13:00Z</dcterms:created>
  <dcterms:modified xsi:type="dcterms:W3CDTF">2025-10-10T08:13:00Z</dcterms:modified>
</cp:coreProperties>
</file>