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04D267C6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7B1FD291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0EDDF380" w14:textId="77777777" w:rsidR="002D0053" w:rsidRPr="00D2640C" w:rsidRDefault="00F97095" w:rsidP="00F97095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C00000"/>
                <w:sz w:val="40"/>
                <w:szCs w:val="27"/>
              </w:rPr>
              <w:t>EXAMPLE</w:t>
            </w:r>
            <w:r>
              <w:rPr>
                <w:color w:val="000000"/>
                <w:sz w:val="40"/>
                <w:szCs w:val="27"/>
              </w:rPr>
              <w:t xml:space="preserve"> </w:t>
            </w:r>
            <w:r w:rsidR="00D2640C">
              <w:rPr>
                <w:color w:val="000000"/>
                <w:sz w:val="40"/>
                <w:szCs w:val="27"/>
              </w:rPr>
              <w:t xml:space="preserve">RISK ASSESSMENT </w:t>
            </w:r>
          </w:p>
        </w:tc>
        <w:tc>
          <w:tcPr>
            <w:tcW w:w="1590" w:type="dxa"/>
            <w:shd w:val="clear" w:color="auto" w:fill="auto"/>
          </w:tcPr>
          <w:p w14:paraId="73D31B7C" w14:textId="1CC737E2" w:rsidR="002D0053" w:rsidRPr="002D0053" w:rsidRDefault="00510E03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66D5C7" wp14:editId="21B7896F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51435</wp:posOffset>
                  </wp:positionV>
                  <wp:extent cx="692150" cy="533400"/>
                  <wp:effectExtent l="0" t="0" r="0" b="0"/>
                  <wp:wrapSquare wrapText="bothSides"/>
                  <wp:docPr id="4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t="16618" r="7059" b="1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E3D6FF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14"/>
        <w:gridCol w:w="1588"/>
        <w:gridCol w:w="284"/>
        <w:gridCol w:w="1276"/>
        <w:gridCol w:w="992"/>
      </w:tblGrid>
      <w:tr w:rsidR="002D0053" w:rsidRPr="00082AB4" w14:paraId="38A470AD" w14:textId="77777777" w:rsidTr="00551094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DBBB3BA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64EABE29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E11B3" w14:textId="77777777" w:rsidR="002D0053" w:rsidRPr="002D0053" w:rsidRDefault="00123712" w:rsidP="005D21D7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caps/>
                <w:sz w:val="24"/>
                <w:szCs w:val="24"/>
              </w:rPr>
              <w:t>EXHIBITION</w:t>
            </w:r>
            <w:r w:rsidR="005D21D7">
              <w:rPr>
                <w:rFonts w:cs="Calibri"/>
                <w:caps/>
                <w:sz w:val="24"/>
                <w:szCs w:val="24"/>
              </w:rPr>
              <w:t xml:space="preserve"> ON UNIVERSITY PREMISES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1149BB99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4AE9F91" w14:textId="51879352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Date RA Created or Reviewed</w:t>
            </w:r>
          </w:p>
        </w:tc>
        <w:tc>
          <w:tcPr>
            <w:tcW w:w="1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2C665A" w14:textId="10C4212D" w:rsidR="002D0053" w:rsidRPr="00082AB4" w:rsidRDefault="00BA5362" w:rsidP="005D21D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May 2025</w:t>
            </w:r>
            <w:r w:rsidR="00844A37">
              <w:rPr>
                <w:rFonts w:cs="Calibri"/>
                <w:color w:val="000000"/>
              </w:rPr>
              <w:t xml:space="preserve"> (</w:t>
            </w:r>
            <w:r w:rsidR="00551094">
              <w:rPr>
                <w:rFonts w:cs="Calibri"/>
                <w:color w:val="000000"/>
              </w:rPr>
              <w:t>last review 08/23</w:t>
            </w:r>
            <w:r w:rsidR="00844A37">
              <w:rPr>
                <w:rFonts w:cs="Calibri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245F5B05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79339DDD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C1953" w14:textId="5964879B" w:rsidR="002D0053" w:rsidRPr="00082AB4" w:rsidRDefault="00BA5362" w:rsidP="002D0053">
            <w:pPr>
              <w:spacing w:after="0" w:line="240" w:lineRule="auto"/>
            </w:pPr>
            <w:r>
              <w:t>4</w:t>
            </w:r>
          </w:p>
        </w:tc>
      </w:tr>
    </w:tbl>
    <w:p w14:paraId="1783696D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27704680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4BC49926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194D766B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7B82AA73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50341C13" w14:textId="77777777" w:rsidR="00254BF7" w:rsidRDefault="00254BF7" w:rsidP="005D21D7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Internal conference arranged by University department.</w:t>
            </w:r>
          </w:p>
          <w:p w14:paraId="7A25D380" w14:textId="77777777" w:rsidR="005D21D7" w:rsidRDefault="005D21D7" w:rsidP="005D21D7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 xml:space="preserve">External exhibitors from a range of different organisations setting up and overseeing approximately 45 stalls (trestle tables, pop up stands) in PJ Hall to promote various careers opportunities to </w:t>
            </w:r>
            <w:r w:rsidR="0010060C">
              <w:rPr>
                <w:rFonts w:cs="Calibri"/>
              </w:rPr>
              <w:t xml:space="preserve">Bangor </w:t>
            </w:r>
            <w:r w:rsidR="00F4725C">
              <w:rPr>
                <w:rFonts w:cs="Calibri"/>
              </w:rPr>
              <w:t xml:space="preserve">University </w:t>
            </w:r>
            <w:r>
              <w:rPr>
                <w:rFonts w:cs="Calibri"/>
              </w:rPr>
              <w:t xml:space="preserve">students.  </w:t>
            </w:r>
            <w:r w:rsidR="00BC3F7E">
              <w:rPr>
                <w:rFonts w:cs="Calibri"/>
              </w:rPr>
              <w:t xml:space="preserve">Capacity expected to range from 150 – 200 at any one time, with maximum of 100 exhibitor personnel overseeing stalls / exhibits. </w:t>
            </w:r>
          </w:p>
          <w:p w14:paraId="182FC419" w14:textId="5795EF0C" w:rsidR="002D0053" w:rsidRPr="002D0053" w:rsidRDefault="005D21D7" w:rsidP="005D21D7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>The Conference will take place on 21</w:t>
            </w:r>
            <w:r w:rsidRPr="005D21D7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May.  Set up will be from 8am – 10.30am.  The event will be open to students from 11am – 3pm</w:t>
            </w:r>
            <w:r>
              <w:rPr>
                <w:rFonts w:cs="Calibri"/>
                <w:color w:val="000000"/>
              </w:rPr>
              <w:t>.</w:t>
            </w:r>
          </w:p>
        </w:tc>
      </w:tr>
    </w:tbl>
    <w:p w14:paraId="5ED206E5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3A5F689E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793D3EAD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7CC9AA6E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3D9A656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67316301" w14:textId="77777777" w:rsidR="002D0053" w:rsidRPr="002D0053" w:rsidRDefault="005D21D7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PJ Hall</w:t>
            </w:r>
            <w:r w:rsidR="00340348">
              <w:rPr>
                <w:rFonts w:cs="Calibri"/>
                <w:color w:val="000000"/>
              </w:rPr>
              <w:t xml:space="preserve"> – Main Arts</w:t>
            </w:r>
          </w:p>
        </w:tc>
        <w:tc>
          <w:tcPr>
            <w:tcW w:w="2268" w:type="dxa"/>
            <w:shd w:val="clear" w:color="auto" w:fill="F2F2F2"/>
          </w:tcPr>
          <w:p w14:paraId="6CB012D9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39D007D8" w14:textId="77777777" w:rsidR="002D0053" w:rsidRPr="002D0053" w:rsidRDefault="002D0053" w:rsidP="003B7177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color w:val="000000"/>
              </w:rPr>
              <w:t>Students</w:t>
            </w:r>
            <w:r w:rsidR="003B7177">
              <w:rPr>
                <w:rFonts w:cs="Calibri"/>
                <w:color w:val="000000"/>
              </w:rPr>
              <w:t xml:space="preserve">, </w:t>
            </w:r>
            <w:r w:rsidRPr="002D0053">
              <w:rPr>
                <w:rFonts w:cs="Calibri"/>
                <w:color w:val="000000"/>
              </w:rPr>
              <w:t xml:space="preserve">staff </w:t>
            </w:r>
            <w:r w:rsidR="003B7177">
              <w:rPr>
                <w:rFonts w:cs="Calibri"/>
                <w:color w:val="000000"/>
              </w:rPr>
              <w:t xml:space="preserve">and exhibitors </w:t>
            </w:r>
            <w:r w:rsidRPr="002D0053">
              <w:rPr>
                <w:rFonts w:cs="Calibri"/>
                <w:color w:val="000000"/>
              </w:rPr>
              <w:t xml:space="preserve">attending </w:t>
            </w:r>
            <w:r w:rsidR="003B7177">
              <w:rPr>
                <w:rFonts w:cs="Calibri"/>
                <w:color w:val="000000"/>
              </w:rPr>
              <w:t xml:space="preserve">Conference </w:t>
            </w:r>
          </w:p>
        </w:tc>
      </w:tr>
      <w:tr w:rsidR="002D0053" w14:paraId="003FA49D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5F9C2A4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050FE55B" w14:textId="77777777" w:rsidR="002D0053" w:rsidRPr="002D0053" w:rsidRDefault="00F97095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Service</w:t>
            </w:r>
          </w:p>
        </w:tc>
        <w:tc>
          <w:tcPr>
            <w:tcW w:w="2268" w:type="dxa"/>
            <w:shd w:val="clear" w:color="auto" w:fill="F2F2F2"/>
          </w:tcPr>
          <w:p w14:paraId="4DDE809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6BF71077" w14:textId="77777777" w:rsidR="002D0053" w:rsidRPr="002D0053" w:rsidRDefault="00F97095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...</w:t>
            </w:r>
          </w:p>
        </w:tc>
      </w:tr>
      <w:tr w:rsidR="002D0053" w14:paraId="0EA22BCE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249AC66C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60BAD73B" w14:textId="77777777" w:rsidR="002D0053" w:rsidRPr="002D0053" w:rsidRDefault="005D21D7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Event Organiser</w:t>
            </w:r>
          </w:p>
        </w:tc>
        <w:tc>
          <w:tcPr>
            <w:tcW w:w="2268" w:type="dxa"/>
            <w:shd w:val="clear" w:color="auto" w:fill="F2F2F2"/>
          </w:tcPr>
          <w:p w14:paraId="7ADFCAEC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678AD6D" w14:textId="77777777" w:rsidR="002D0053" w:rsidRPr="002D0053" w:rsidRDefault="005D21D7" w:rsidP="005D21D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01248 35 11 51</w:t>
            </w:r>
          </w:p>
        </w:tc>
      </w:tr>
    </w:tbl>
    <w:p w14:paraId="7E774564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40ADF913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25C2D652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D392F88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E1683F" w14:textId="77777777" w:rsidR="002D0053" w:rsidRDefault="005D21D7" w:rsidP="002D0053">
            <w:pPr>
              <w:spacing w:after="0"/>
              <w:ind w:right="-384"/>
            </w:pPr>
            <w:r>
              <w:t>Event Organiser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73690BD4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1FF7C724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F851E" w14:textId="77777777" w:rsidR="002D0053" w:rsidRDefault="002D0053" w:rsidP="003404EC">
            <w:pPr>
              <w:spacing w:after="0"/>
            </w:pPr>
            <w:r w:rsidRPr="002D0053">
              <w:rPr>
                <w:rFonts w:cs="Calibri"/>
                <w:color w:val="000000"/>
              </w:rPr>
              <w:t xml:space="preserve">Review before </w:t>
            </w:r>
            <w:r w:rsidR="005D21D7">
              <w:rPr>
                <w:rFonts w:cs="Calibri"/>
                <w:color w:val="000000"/>
              </w:rPr>
              <w:t xml:space="preserve">each, future </w:t>
            </w:r>
            <w:r w:rsidR="003404EC">
              <w:rPr>
                <w:rFonts w:cs="Calibri"/>
                <w:color w:val="000000"/>
              </w:rPr>
              <w:t>exhibition</w:t>
            </w:r>
          </w:p>
        </w:tc>
      </w:tr>
    </w:tbl>
    <w:p w14:paraId="3EA4DC89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55AD37F4" w14:textId="65EC3E22" w:rsidR="005606F3" w:rsidRPr="001960D0" w:rsidRDefault="00510E03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4002C" wp14:editId="62976AE2">
                <wp:simplePos x="0" y="0"/>
                <wp:positionH relativeFrom="column">
                  <wp:posOffset>-243205</wp:posOffset>
                </wp:positionH>
                <wp:positionV relativeFrom="paragraph">
                  <wp:posOffset>248285</wp:posOffset>
                </wp:positionV>
                <wp:extent cx="9363710" cy="594995"/>
                <wp:effectExtent l="24765" t="20955" r="22225" b="22225"/>
                <wp:wrapSquare wrapText="bothSides"/>
                <wp:docPr id="16388185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71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A7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76FA3" w14:textId="77777777" w:rsidR="001011C5" w:rsidRPr="00305622" w:rsidRDefault="001011C5" w:rsidP="008D628C">
                            <w:pPr>
                              <w:spacing w:before="60" w:after="6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305622">
                              <w:rPr>
                                <w:rFonts w:cs="Calibri"/>
                                <w:b/>
                              </w:rPr>
                              <w:t>NOTE:  Arrangements must be in place to communicate new and / or revised Risk Assessments to relevant persons.</w:t>
                            </w:r>
                          </w:p>
                          <w:p w14:paraId="4C226C59" w14:textId="77777777" w:rsidR="001011C5" w:rsidRPr="004C0380" w:rsidRDefault="001011C5" w:rsidP="008D628C">
                            <w:pPr>
                              <w:spacing w:before="60" w:after="60"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305622">
                              <w:rPr>
                                <w:rFonts w:cs="Calibri"/>
                                <w:b/>
                              </w:rPr>
                              <w:t xml:space="preserve">Older versions must be removed from use (e.g. Folders, Website, My Bangor, Blackboard, Notice Boards) and filed for future reference/archive.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400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15pt;margin-top:19.55pt;width:737.3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" strokecolor="#a70021" strokeweight="3pt">
                <v:stroke linestyle="thinThin"/>
                <v:textbox>
                  <w:txbxContent>
                    <w:p w14:paraId="06176FA3" w14:textId="77777777" w:rsidR="001011C5" w:rsidRPr="00305622" w:rsidRDefault="001011C5" w:rsidP="008D628C">
                      <w:pPr>
                        <w:spacing w:before="60" w:after="6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305622">
                        <w:rPr>
                          <w:rFonts w:cs="Calibri"/>
                          <w:b/>
                        </w:rPr>
                        <w:t>NOTE:  Arrangements must be in place to communicate new and / or revised Risk Assessments to relevant persons.</w:t>
                      </w:r>
                    </w:p>
                    <w:p w14:paraId="4C226C59" w14:textId="77777777" w:rsidR="001011C5" w:rsidRPr="004C0380" w:rsidRDefault="001011C5" w:rsidP="008D628C">
                      <w:pPr>
                        <w:spacing w:before="60" w:after="60" w:line="240" w:lineRule="auto"/>
                        <w:rPr>
                          <w:rFonts w:cs="Calibri"/>
                          <w:b/>
                        </w:rPr>
                      </w:pPr>
                      <w:r w:rsidRPr="00305622">
                        <w:rPr>
                          <w:rFonts w:cs="Calibri"/>
                          <w:b/>
                        </w:rPr>
                        <w:t xml:space="preserve">Older versions must be removed from use (e.g. Folders, Website, My Bangor, Blackboard, Notice Boards) and filed for future reference/archive.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4870B7" w14:textId="77777777" w:rsidR="005E2E3E" w:rsidRDefault="005E2E3E" w:rsidP="005D21D7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3233724F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03191DF6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lastRenderedPageBreak/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759F150B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72F74D6B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461ED8C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0BE2C817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1622BEA0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4DF7B04E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D628C" w:rsidRPr="001960D0" w14:paraId="578594A8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AB50F98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F2444B1" w14:textId="7D684DAF" w:rsidR="008D628C" w:rsidRPr="001960D0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b/>
                <w:szCs w:val="24"/>
              </w:rPr>
              <w:t>Venue / Location</w:t>
            </w:r>
            <w:r w:rsidRPr="001960D0">
              <w:rPr>
                <w:rFonts w:cs="Calibri"/>
                <w:szCs w:val="24"/>
              </w:rPr>
              <w:t xml:space="preserve"> – injuries, ill health if venue is unsuitable </w:t>
            </w:r>
            <w:r w:rsidR="003B7177">
              <w:rPr>
                <w:rFonts w:cs="Calibri"/>
                <w:szCs w:val="24"/>
              </w:rPr>
              <w:t xml:space="preserve">or too small for activity </w:t>
            </w:r>
            <w:r w:rsidRPr="001960D0">
              <w:rPr>
                <w:rFonts w:cs="Calibri"/>
                <w:szCs w:val="24"/>
              </w:rPr>
              <w:t xml:space="preserve">or activities </w:t>
            </w:r>
            <w:r w:rsidR="003B7177">
              <w:rPr>
                <w:rFonts w:cs="Calibri"/>
                <w:szCs w:val="24"/>
              </w:rPr>
              <w:t xml:space="preserve">are </w:t>
            </w:r>
            <w:r w:rsidRPr="001960D0">
              <w:rPr>
                <w:rFonts w:cs="Calibri"/>
                <w:szCs w:val="24"/>
              </w:rPr>
              <w:t>poorly managed</w:t>
            </w:r>
            <w:r w:rsidR="00E51C09">
              <w:rPr>
                <w:rFonts w:cs="Calibri"/>
                <w:szCs w:val="24"/>
              </w:rPr>
              <w:t>, people unfamiliar with layout of building</w:t>
            </w:r>
          </w:p>
        </w:tc>
        <w:tc>
          <w:tcPr>
            <w:tcW w:w="1259" w:type="dxa"/>
            <w:shd w:val="clear" w:color="auto" w:fill="auto"/>
          </w:tcPr>
          <w:p w14:paraId="7D6BE12F" w14:textId="77777777" w:rsidR="008D628C" w:rsidRPr="001960D0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 w:rsidR="005D21D7">
              <w:rPr>
                <w:rFonts w:cs="Calibri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2EAAD2B1" w14:textId="77777777" w:rsidR="00725E49" w:rsidRDefault="00725E49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PJ Hall is used regularly for such events</w:t>
            </w:r>
          </w:p>
          <w:p w14:paraId="6A61ABA3" w14:textId="77777777" w:rsidR="008D628C" w:rsidRPr="00340348" w:rsidRDefault="00725E49" w:rsidP="0034034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PJ Hall and </w:t>
            </w:r>
            <w:r w:rsidRPr="00340348">
              <w:rPr>
                <w:rFonts w:cs="Calibri"/>
                <w:szCs w:val="24"/>
              </w:rPr>
              <w:t>facilities (eg toilets)</w:t>
            </w:r>
            <w:r w:rsidR="005D21D7" w:rsidRPr="00340348">
              <w:rPr>
                <w:rFonts w:cs="Calibri"/>
                <w:szCs w:val="24"/>
              </w:rPr>
              <w:t xml:space="preserve"> maintained in good order and cleaned regularly</w:t>
            </w:r>
          </w:p>
          <w:p w14:paraId="4002762A" w14:textId="53B64A54" w:rsidR="00725E49" w:rsidRDefault="00CA65B6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Timetable / Conference advis</w:t>
            </w:r>
            <w:r>
              <w:rPr>
                <w:rFonts w:cs="Calibri"/>
                <w:szCs w:val="24"/>
              </w:rPr>
              <w:t>ed on</w:t>
            </w:r>
            <w:r>
              <w:rPr>
                <w:rFonts w:cs="Calibri"/>
                <w:szCs w:val="24"/>
              </w:rPr>
              <w:t xml:space="preserve"> capacities</w:t>
            </w:r>
            <w:r>
              <w:rPr>
                <w:rFonts w:cs="Calibri"/>
                <w:szCs w:val="24"/>
              </w:rPr>
              <w:t xml:space="preserve">. </w:t>
            </w:r>
            <w:r w:rsidR="00725E49">
              <w:rPr>
                <w:rFonts w:cs="Calibri"/>
                <w:szCs w:val="24"/>
              </w:rPr>
              <w:t xml:space="preserve">Exhibit numbers is within capacity for PJ Hall </w:t>
            </w:r>
          </w:p>
          <w:p w14:paraId="56D78CD8" w14:textId="601FAE4A" w:rsidR="00E31BBC" w:rsidRDefault="00E31BB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Sign up to event required.</w:t>
            </w:r>
          </w:p>
          <w:p w14:paraId="397BFCF4" w14:textId="77777777" w:rsidR="00716428" w:rsidRDefault="00716428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Exhibits consist of pop up stands, handouts, IT use, free gifts</w:t>
            </w:r>
          </w:p>
          <w:p w14:paraId="64A3F25B" w14:textId="77777777" w:rsidR="00725E49" w:rsidRDefault="00725E49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will monitor numbers of person(s) entering PJ Hall and regulate if needed</w:t>
            </w:r>
          </w:p>
          <w:p w14:paraId="34395E14" w14:textId="036FDFF0" w:rsidR="00E51C09" w:rsidRDefault="00E51C09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Stewards appointed to direct visitors</w:t>
            </w:r>
          </w:p>
          <w:p w14:paraId="00958579" w14:textId="77777777" w:rsidR="005D21D7" w:rsidRDefault="00725E49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Exhibits will be set up with a 2</w:t>
            </w:r>
            <w:r w:rsidR="00D16D0B">
              <w:rPr>
                <w:rFonts w:cs="Calibri"/>
                <w:szCs w:val="24"/>
              </w:rPr>
              <w:t>.5</w:t>
            </w:r>
            <w:r>
              <w:rPr>
                <w:rFonts w:cs="Calibri"/>
                <w:szCs w:val="24"/>
              </w:rPr>
              <w:t xml:space="preserve">m gap (min) between rows </w:t>
            </w:r>
            <w:r w:rsidR="00D16D0B">
              <w:rPr>
                <w:rFonts w:cs="Calibri"/>
                <w:szCs w:val="24"/>
              </w:rPr>
              <w:t xml:space="preserve">and at the end of rows </w:t>
            </w:r>
            <w:r>
              <w:rPr>
                <w:rFonts w:cs="Calibri"/>
                <w:szCs w:val="24"/>
              </w:rPr>
              <w:t>to enable safe access</w:t>
            </w:r>
            <w:r w:rsidR="002331C9">
              <w:rPr>
                <w:rFonts w:cs="Calibri"/>
                <w:szCs w:val="24"/>
              </w:rPr>
              <w:t xml:space="preserve"> </w:t>
            </w:r>
          </w:p>
          <w:p w14:paraId="032E2277" w14:textId="5827AFBA" w:rsidR="00B063C4" w:rsidRPr="00CA65B6" w:rsidRDefault="00725E49" w:rsidP="00CA65B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Doors and fire exits kept clear at all times</w:t>
            </w:r>
          </w:p>
        </w:tc>
        <w:tc>
          <w:tcPr>
            <w:tcW w:w="4365" w:type="dxa"/>
            <w:shd w:val="clear" w:color="auto" w:fill="FCE0E0"/>
          </w:tcPr>
          <w:p w14:paraId="1BECE8DB" w14:textId="77777777" w:rsidR="008D628C" w:rsidRDefault="005D21D7" w:rsidP="005D21D7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Check PJ Hall and facilities (eg toilets) week before event and report faults to the Maintenance Helpdesk</w:t>
            </w:r>
          </w:p>
          <w:p w14:paraId="6AADCC51" w14:textId="77777777" w:rsidR="00BC3F7E" w:rsidRDefault="00BC3F7E" w:rsidP="005D21D7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Display signs to direct people to the event </w:t>
            </w:r>
          </w:p>
          <w:p w14:paraId="28843E2B" w14:textId="35370E50" w:rsidR="00725E49" w:rsidRDefault="00725E49" w:rsidP="005D21D7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Monitor walkways, doors</w:t>
            </w:r>
            <w:r w:rsidR="002331C9">
              <w:rPr>
                <w:rFonts w:cs="Calibri"/>
                <w:szCs w:val="24"/>
              </w:rPr>
              <w:t>, fire exits</w:t>
            </w:r>
            <w:r>
              <w:rPr>
                <w:rFonts w:cs="Calibri"/>
                <w:szCs w:val="24"/>
              </w:rPr>
              <w:t xml:space="preserve"> during event to ensure remain clear</w:t>
            </w:r>
            <w:r w:rsidR="001402C1">
              <w:rPr>
                <w:rFonts w:cs="Calibri"/>
                <w:szCs w:val="24"/>
              </w:rPr>
              <w:t>. Layout set up to consider fire safety and access/egress</w:t>
            </w:r>
          </w:p>
          <w:p w14:paraId="7451C7A4" w14:textId="77777777" w:rsidR="002331C9" w:rsidRPr="00F85877" w:rsidRDefault="002331C9" w:rsidP="002331C9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Remind exhibitors of smoking area – covered walkway to Outer Quad</w:t>
            </w:r>
          </w:p>
          <w:p w14:paraId="0064DE7C" w14:textId="77777777" w:rsidR="007A5CA8" w:rsidRPr="007A5CA8" w:rsidRDefault="00F85877" w:rsidP="00F85877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Check facilities again post event to ensure there are no ‘legacy’ risks created as a result of the event</w:t>
            </w:r>
            <w:r w:rsidR="007A5CA8">
              <w:rPr>
                <w:rFonts w:cs="Arial"/>
                <w:szCs w:val="24"/>
              </w:rPr>
              <w:t xml:space="preserve">.  </w:t>
            </w:r>
          </w:p>
          <w:p w14:paraId="2F5492EE" w14:textId="77777777" w:rsidR="00F85877" w:rsidRPr="00E31BBC" w:rsidRDefault="007A5CA8" w:rsidP="00F85877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 xml:space="preserve">Report concerns identified to relevant Services as necessary eg </w:t>
            </w:r>
            <w:r w:rsidR="00C70334">
              <w:rPr>
                <w:rFonts w:cs="Arial"/>
                <w:szCs w:val="24"/>
              </w:rPr>
              <w:t>Campus Service (CS)</w:t>
            </w:r>
            <w:r>
              <w:rPr>
                <w:rFonts w:cs="Arial"/>
                <w:szCs w:val="24"/>
              </w:rPr>
              <w:t xml:space="preserve"> Helpdesk</w:t>
            </w:r>
          </w:p>
          <w:p w14:paraId="38B7F0EC" w14:textId="79C0E14C" w:rsidR="00E31BBC" w:rsidRPr="001960D0" w:rsidRDefault="00E31BBC" w:rsidP="00F85877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 xml:space="preserve">Consider ticketing system </w:t>
            </w:r>
            <w:r w:rsidR="001402C1">
              <w:rPr>
                <w:rFonts w:cs="Arial"/>
                <w:szCs w:val="24"/>
              </w:rPr>
              <w:t>to monitor attendees</w:t>
            </w:r>
          </w:p>
        </w:tc>
        <w:tc>
          <w:tcPr>
            <w:tcW w:w="1134" w:type="dxa"/>
            <w:shd w:val="clear" w:color="auto" w:fill="auto"/>
          </w:tcPr>
          <w:p w14:paraId="03A25838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  <w:p w14:paraId="061F0CFA" w14:textId="77777777" w:rsidR="002331C9" w:rsidRDefault="002331C9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04181DF" w14:textId="77777777" w:rsidR="00BC3F7E" w:rsidRDefault="00BC3F7E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1C204AEA" w14:textId="77777777" w:rsidR="002331C9" w:rsidRDefault="002331C9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  <w:p w14:paraId="1DE6B313" w14:textId="77777777" w:rsidR="00BC3F7E" w:rsidRDefault="00BC3F7E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36709EFE" w14:textId="77777777" w:rsidR="00BC3F7E" w:rsidRDefault="00BC3F7E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9904DDE" w14:textId="77777777" w:rsidR="00F85877" w:rsidRDefault="00F85877" w:rsidP="00F85877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5007FE16" w14:textId="77777777" w:rsidR="007A5CA8" w:rsidRDefault="007A5CA8" w:rsidP="00F85877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5DAB73EC" w14:textId="77777777" w:rsidR="007A5CA8" w:rsidRDefault="007A5CA8" w:rsidP="007A5CA8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158B0E16" w14:textId="77777777" w:rsidR="00F85877" w:rsidRPr="001960D0" w:rsidRDefault="00F85877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12A8244F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124FB0" w:rsidRPr="001960D0" w14:paraId="672F122F" w14:textId="77777777" w:rsidTr="000B1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3"/>
        </w:trPr>
        <w:tc>
          <w:tcPr>
            <w:tcW w:w="567" w:type="dxa"/>
          </w:tcPr>
          <w:p w14:paraId="5234E11F" w14:textId="77777777" w:rsidR="00124FB0" w:rsidRPr="001960D0" w:rsidRDefault="00124FB0" w:rsidP="00124FB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1AD41B8" w14:textId="38BDC214" w:rsidR="00124FB0" w:rsidRPr="00124FB0" w:rsidRDefault="00124FB0" w:rsidP="00124FB0">
            <w:pPr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 w:rsidRPr="00124FB0">
              <w:rPr>
                <w:rFonts w:eastAsia="Times New Roman" w:cs="Calibri"/>
                <w:b/>
                <w:bCs/>
                <w:lang w:eastAsia="en-GB"/>
              </w:rPr>
              <w:t xml:space="preserve">Security </w:t>
            </w:r>
            <w:r>
              <w:rPr>
                <w:rFonts w:eastAsia="Times New Roman" w:cs="Calibri"/>
                <w:b/>
                <w:bCs/>
                <w:lang w:eastAsia="en-GB"/>
              </w:rPr>
              <w:t>I</w:t>
            </w:r>
            <w:r w:rsidRPr="00124FB0">
              <w:rPr>
                <w:rFonts w:eastAsia="Times New Roman" w:cs="Calibri"/>
                <w:b/>
                <w:bCs/>
                <w:lang w:eastAsia="en-GB"/>
              </w:rPr>
              <w:t>ncidents</w:t>
            </w:r>
            <w:r>
              <w:rPr>
                <w:rFonts w:eastAsia="Times New Roman" w:cs="Calibri"/>
                <w:b/>
                <w:bCs/>
                <w:lang w:eastAsia="en-GB"/>
              </w:rPr>
              <w:t xml:space="preserve"> - </w:t>
            </w:r>
            <w:r>
              <w:rPr>
                <w:rFonts w:eastAsia="Times New Roman" w:cs="Calibri"/>
                <w:lang w:eastAsia="en-GB"/>
              </w:rPr>
              <w:t>h</w:t>
            </w:r>
            <w:r w:rsidRPr="00E30D3A">
              <w:rPr>
                <w:rFonts w:eastAsia="Times New Roman" w:cs="Calibri"/>
                <w:lang w:eastAsia="en-GB"/>
              </w:rPr>
              <w:t>arm arising from security incidents such as, aggression, violence and other criminal activity</w:t>
            </w:r>
          </w:p>
        </w:tc>
        <w:tc>
          <w:tcPr>
            <w:tcW w:w="1259" w:type="dxa"/>
            <w:shd w:val="clear" w:color="auto" w:fill="auto"/>
          </w:tcPr>
          <w:p w14:paraId="7EBF196A" w14:textId="73D8E9D1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E30D3A">
              <w:rPr>
                <w:rFonts w:eastAsia="Times New Roman" w:cs="Calibri"/>
                <w:lang w:eastAsia="en-GB"/>
              </w:rPr>
              <w:t>Students, staff and visitors</w:t>
            </w:r>
          </w:p>
        </w:tc>
        <w:tc>
          <w:tcPr>
            <w:tcW w:w="4535" w:type="dxa"/>
            <w:shd w:val="clear" w:color="auto" w:fill="auto"/>
          </w:tcPr>
          <w:p w14:paraId="0C452368" w14:textId="68C8E0FF" w:rsidR="00124FB0" w:rsidRDefault="00124FB0" w:rsidP="00124FB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The capacity is within </w:t>
            </w:r>
            <w:r w:rsidR="00C70553">
              <w:rPr>
                <w:rFonts w:eastAsia="Times New Roman" w:cs="Calibri"/>
                <w:lang w:eastAsia="en-GB"/>
              </w:rPr>
              <w:t>limits for the venue</w:t>
            </w:r>
          </w:p>
          <w:p w14:paraId="44BC2323" w14:textId="11835FA8" w:rsidR="00C70553" w:rsidRDefault="00C70553" w:rsidP="00124FB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No alcohol is served</w:t>
            </w:r>
          </w:p>
          <w:p w14:paraId="365F98E8" w14:textId="610F5330" w:rsidR="00C70553" w:rsidRDefault="00C70553" w:rsidP="00124FB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There are no high value items at the event</w:t>
            </w:r>
          </w:p>
          <w:p w14:paraId="210128D4" w14:textId="2949619A" w:rsidR="00B14769" w:rsidRDefault="00B14769" w:rsidP="00124FB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 event is during the day when other staff and students will be in the building</w:t>
            </w:r>
          </w:p>
          <w:p w14:paraId="413602FD" w14:textId="6A67DF43" w:rsidR="00B14769" w:rsidRDefault="00B14769" w:rsidP="00124FB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 Security Manager has confirmed bag searches are not needed</w:t>
            </w:r>
          </w:p>
          <w:p w14:paraId="774200CA" w14:textId="4B1C0641" w:rsidR="00B14769" w:rsidRDefault="00B14769" w:rsidP="00124FB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The Security Manager has confirmed there are no current threats, risk of </w:t>
            </w:r>
            <w:r w:rsidR="00502E77">
              <w:rPr>
                <w:rFonts w:eastAsia="Times New Roman" w:cs="Calibri"/>
                <w:lang w:eastAsia="en-GB"/>
              </w:rPr>
              <w:t>protests at the University</w:t>
            </w:r>
          </w:p>
          <w:p w14:paraId="043EF517" w14:textId="4A6D030D" w:rsidR="00124FB0" w:rsidRPr="00502E77" w:rsidRDefault="00502E77" w:rsidP="00502E7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 event is not considered a contentious topic and there are no foreseeable issues with the exhibitors’ present</w:t>
            </w:r>
          </w:p>
        </w:tc>
        <w:tc>
          <w:tcPr>
            <w:tcW w:w="4365" w:type="dxa"/>
            <w:shd w:val="clear" w:color="auto" w:fill="FCE0E0"/>
          </w:tcPr>
          <w:p w14:paraId="7E4D3750" w14:textId="00C81A99" w:rsidR="00124FB0" w:rsidRDefault="00200829" w:rsidP="00124FB0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Monitor exhibitors, news etc and d</w:t>
            </w:r>
            <w:r w:rsidR="00124FB0">
              <w:rPr>
                <w:rFonts w:cs="Arial"/>
                <w:szCs w:val="24"/>
              </w:rPr>
              <w:t>iscuss additional controls with Security Manager eg extra Security staff if required</w:t>
            </w:r>
            <w:r w:rsidR="00C7055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34FEE99" w14:textId="30CAB993" w:rsidR="00124FB0" w:rsidRDefault="00200829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</w:tc>
        <w:tc>
          <w:tcPr>
            <w:tcW w:w="1136" w:type="dxa"/>
            <w:shd w:val="clear" w:color="auto" w:fill="auto"/>
          </w:tcPr>
          <w:p w14:paraId="5C814B35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124FB0" w:rsidRPr="001960D0" w14:paraId="50686B33" w14:textId="77777777" w:rsidTr="000B1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3"/>
        </w:trPr>
        <w:tc>
          <w:tcPr>
            <w:tcW w:w="567" w:type="dxa"/>
          </w:tcPr>
          <w:p w14:paraId="3AA4E672" w14:textId="77777777" w:rsidR="00124FB0" w:rsidRPr="001960D0" w:rsidRDefault="00124FB0" w:rsidP="00124FB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3296F17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Accessibility</w:t>
            </w:r>
            <w:r w:rsidRPr="001960D0">
              <w:rPr>
                <w:rFonts w:cs="Arial"/>
                <w:szCs w:val="24"/>
              </w:rPr>
              <w:t xml:space="preserve"> – distress if access arrangements unsuitable and individual excluded</w:t>
            </w:r>
          </w:p>
        </w:tc>
        <w:tc>
          <w:tcPr>
            <w:tcW w:w="1259" w:type="dxa"/>
            <w:shd w:val="clear" w:color="auto" w:fill="auto"/>
          </w:tcPr>
          <w:p w14:paraId="4797B0BA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2163B493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Level entrance to PJ Hall</w:t>
            </w:r>
          </w:p>
          <w:p w14:paraId="09133F8D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Accessible parking directly outside building</w:t>
            </w:r>
          </w:p>
          <w:p w14:paraId="4279B706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Accessible welfare facilities available on Powis Hall side of PJ Hall</w:t>
            </w:r>
          </w:p>
          <w:p w14:paraId="1DCAF2FE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platform / passenger lift available to other areas of Main Arts / New Arts if required</w:t>
            </w:r>
          </w:p>
          <w:p w14:paraId="526F40DD" w14:textId="5BD21CA0" w:rsidR="00057FFC" w:rsidRPr="001960D0" w:rsidRDefault="00057FFC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Digital Services can advise on hearing loops and accessible technology for the venue</w:t>
            </w:r>
          </w:p>
        </w:tc>
        <w:tc>
          <w:tcPr>
            <w:tcW w:w="4365" w:type="dxa"/>
            <w:shd w:val="clear" w:color="auto" w:fill="FCE0E0"/>
          </w:tcPr>
          <w:p w14:paraId="11183667" w14:textId="44878C12" w:rsidR="00124FB0" w:rsidRDefault="00124FB0" w:rsidP="00124FB0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attendees with mobility issues require access to PJ Hall stage contact Maintenance Helpdesk and arrange for transportable lift to be set up and staff to be instructed in its use</w:t>
            </w:r>
          </w:p>
          <w:p w14:paraId="09AAF6DB" w14:textId="150002F3" w:rsidR="00057FFC" w:rsidRDefault="00057FFC" w:rsidP="00124FB0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Digital Services if hearing loops etc required</w:t>
            </w:r>
          </w:p>
          <w:p w14:paraId="68EBD845" w14:textId="77777777" w:rsidR="00124FB0" w:rsidRPr="00340348" w:rsidRDefault="00124FB0" w:rsidP="00124FB0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attendees with mobility issues are to visit other floors in Main Arts / New Arts provide instruction in Refuge Point system</w:t>
            </w:r>
          </w:p>
        </w:tc>
        <w:tc>
          <w:tcPr>
            <w:tcW w:w="1134" w:type="dxa"/>
            <w:shd w:val="clear" w:color="auto" w:fill="auto"/>
          </w:tcPr>
          <w:p w14:paraId="3AD4BA84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  <w:p w14:paraId="0E041F91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4F3BA756" w14:textId="77777777" w:rsidR="00124FB0" w:rsidRDefault="00124FB0" w:rsidP="00124FB0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3E8F67C8" w14:textId="77777777" w:rsidR="00124FB0" w:rsidRDefault="00124FB0" w:rsidP="00124FB0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E8D3FD2" w14:textId="77777777" w:rsidR="00124FB0" w:rsidRPr="000B162E" w:rsidRDefault="00124FB0" w:rsidP="00124FB0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</w:tc>
        <w:tc>
          <w:tcPr>
            <w:tcW w:w="1136" w:type="dxa"/>
            <w:shd w:val="clear" w:color="auto" w:fill="auto"/>
          </w:tcPr>
          <w:p w14:paraId="2BD61ECD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124FB0" w:rsidRPr="001960D0" w14:paraId="29AABE88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0E55D5E" w14:textId="77777777" w:rsidR="00124FB0" w:rsidRPr="001960D0" w:rsidRDefault="00124FB0" w:rsidP="00124FB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A3BB0D3" w14:textId="77777777" w:rsidR="00124FB0" w:rsidRPr="001960D0" w:rsidRDefault="00124FB0" w:rsidP="00124FB0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Traffic / Parking</w:t>
            </w:r>
            <w:r w:rsidRPr="001960D0">
              <w:rPr>
                <w:rFonts w:cs="Calibri"/>
                <w:szCs w:val="24"/>
              </w:rPr>
              <w:t xml:space="preserve"> – </w:t>
            </w:r>
            <w:r>
              <w:rPr>
                <w:rFonts w:cs="Calibri"/>
                <w:szCs w:val="24"/>
              </w:rPr>
              <w:t>incidents due to pedestrian / vehicle interaction in car park, especially when exhibitors dropping off / collecting</w:t>
            </w:r>
          </w:p>
        </w:tc>
        <w:tc>
          <w:tcPr>
            <w:tcW w:w="1259" w:type="dxa"/>
            <w:shd w:val="clear" w:color="auto" w:fill="auto"/>
          </w:tcPr>
          <w:p w14:paraId="2EFB41AE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exhibitors, visitors, other drivers</w:t>
            </w:r>
          </w:p>
        </w:tc>
        <w:tc>
          <w:tcPr>
            <w:tcW w:w="4535" w:type="dxa"/>
            <w:shd w:val="clear" w:color="auto" w:fill="auto"/>
          </w:tcPr>
          <w:p w14:paraId="78137E6F" w14:textId="77777777" w:rsidR="00124FB0" w:rsidRPr="000B162E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0B162E">
              <w:rPr>
                <w:rFonts w:cs="Calibri"/>
                <w:szCs w:val="24"/>
              </w:rPr>
              <w:t xml:space="preserve">Exhibitors instructed they can </w:t>
            </w:r>
            <w:r>
              <w:rPr>
                <w:rFonts w:cs="Calibri"/>
                <w:szCs w:val="24"/>
              </w:rPr>
              <w:t>‘drop off’</w:t>
            </w:r>
            <w:r w:rsidRPr="000B162E">
              <w:rPr>
                <w:rFonts w:cs="Calibri"/>
                <w:szCs w:val="24"/>
              </w:rPr>
              <w:t xml:space="preserve"> items </w:t>
            </w:r>
            <w:r>
              <w:rPr>
                <w:rFonts w:cs="Calibri"/>
                <w:szCs w:val="24"/>
              </w:rPr>
              <w:t xml:space="preserve">at Main Arts Car Park </w:t>
            </w:r>
            <w:r w:rsidRPr="000B162E">
              <w:rPr>
                <w:rFonts w:cs="Calibri"/>
                <w:szCs w:val="24"/>
              </w:rPr>
              <w:t>between 8am – 9am</w:t>
            </w:r>
          </w:p>
          <w:p w14:paraId="1EE65A71" w14:textId="77777777" w:rsidR="00124FB0" w:rsidRPr="000B162E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Except for accessible parking, exhibitors advised that after ‘drop off’ they must then park in Bryn Afon Car Park </w:t>
            </w:r>
          </w:p>
          <w:p w14:paraId="06286D1B" w14:textId="77777777" w:rsidR="00124FB0" w:rsidRPr="000B162E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Exhibitors issued with a temporary Conference Permit to display in their vehicles</w:t>
            </w:r>
          </w:p>
          <w:p w14:paraId="57EE664B" w14:textId="77777777" w:rsidR="00124FB0" w:rsidRPr="009F5DE9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Staff will be on site to guide exhibitors </w:t>
            </w:r>
          </w:p>
        </w:tc>
        <w:tc>
          <w:tcPr>
            <w:tcW w:w="4365" w:type="dxa"/>
            <w:shd w:val="clear" w:color="auto" w:fill="FCE0E0"/>
          </w:tcPr>
          <w:p w14:paraId="6FD74201" w14:textId="732744CE" w:rsidR="00124FB0" w:rsidRDefault="00124FB0" w:rsidP="00124FB0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CS to arrange for Bryn Afon Car Park barrier to be raised</w:t>
            </w:r>
          </w:p>
          <w:p w14:paraId="300C1CBF" w14:textId="12BCA9A3" w:rsidR="00124FB0" w:rsidRDefault="00124FB0" w:rsidP="00124FB0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Contact CS to arrange for 6 parking bays to be coned off in the Main Arts Car Park for exhibitor drop off / pick up </w:t>
            </w:r>
          </w:p>
          <w:p w14:paraId="5BB792F1" w14:textId="77777777" w:rsidR="00124FB0" w:rsidRPr="00340348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8D134D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  <w:p w14:paraId="3B2A2C17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5BEA5442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7AF4304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124FB0" w:rsidRPr="001960D0" w14:paraId="0F7423D5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65C253A" w14:textId="77777777" w:rsidR="00124FB0" w:rsidRPr="001960D0" w:rsidRDefault="00124FB0" w:rsidP="00124FB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80CCFED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Food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people could become ill from eating / drinking contaminated food</w:t>
            </w:r>
          </w:p>
        </w:tc>
        <w:tc>
          <w:tcPr>
            <w:tcW w:w="1259" w:type="dxa"/>
            <w:shd w:val="clear" w:color="auto" w:fill="auto"/>
          </w:tcPr>
          <w:p w14:paraId="4E91973B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42638DFF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Exhibitors provided with refreshments arranged through University ‘Catering to You’ </w:t>
            </w:r>
          </w:p>
          <w:p w14:paraId="39A63F8D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Exhibitors asked to inform staff about special dietary needs so can be catered for</w:t>
            </w:r>
          </w:p>
          <w:p w14:paraId="6BF77CEC" w14:textId="77777777" w:rsidR="00996F49" w:rsidRDefault="00996F49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Catering to You label food with content and identify foods that relate to special dietary requirements</w:t>
            </w:r>
          </w:p>
          <w:p w14:paraId="6D1264DB" w14:textId="65A397AD" w:rsidR="004069AB" w:rsidRDefault="004069AB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Catering set up away from walkways / doorways</w:t>
            </w:r>
            <w:r w:rsidR="007703D4">
              <w:rPr>
                <w:rFonts w:cs="Arial"/>
                <w:szCs w:val="24"/>
              </w:rPr>
              <w:t xml:space="preserve"> and staff clear spills throughout</w:t>
            </w:r>
          </w:p>
          <w:p w14:paraId="004B4822" w14:textId="0BDBB565" w:rsidR="006B4612" w:rsidRPr="003B7177" w:rsidRDefault="006B4612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Hot drinks will be served in cups with lids.  No glass </w:t>
            </w:r>
            <w:r w:rsidR="004069AB">
              <w:rPr>
                <w:rFonts w:cs="Arial"/>
                <w:szCs w:val="24"/>
              </w:rPr>
              <w:t>will be s</w:t>
            </w:r>
            <w:r>
              <w:rPr>
                <w:rFonts w:cs="Arial"/>
                <w:szCs w:val="24"/>
              </w:rPr>
              <w:t>erved</w:t>
            </w:r>
          </w:p>
        </w:tc>
        <w:tc>
          <w:tcPr>
            <w:tcW w:w="4365" w:type="dxa"/>
            <w:shd w:val="clear" w:color="auto" w:fill="FCE0E0"/>
          </w:tcPr>
          <w:p w14:paraId="631AE151" w14:textId="77777777" w:rsidR="00124FB0" w:rsidRPr="001960D0" w:rsidRDefault="00124FB0" w:rsidP="00124FB0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If ‘declared’ check specific dietary needs catered for </w:t>
            </w:r>
          </w:p>
        </w:tc>
        <w:tc>
          <w:tcPr>
            <w:tcW w:w="1134" w:type="dxa"/>
            <w:shd w:val="clear" w:color="auto" w:fill="auto"/>
          </w:tcPr>
          <w:p w14:paraId="1942DDA3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</w:tc>
        <w:tc>
          <w:tcPr>
            <w:tcW w:w="1136" w:type="dxa"/>
            <w:shd w:val="clear" w:color="auto" w:fill="auto"/>
          </w:tcPr>
          <w:p w14:paraId="353D65B8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124FB0" w:rsidRPr="001960D0" w14:paraId="23B1FA44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58F49A3" w14:textId="77777777" w:rsidR="00124FB0" w:rsidRPr="001960D0" w:rsidRDefault="00124FB0" w:rsidP="00124FB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508F950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Young People / Children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lost child, unsupervised child placing self at risk</w:t>
            </w:r>
          </w:p>
        </w:tc>
        <w:tc>
          <w:tcPr>
            <w:tcW w:w="1259" w:type="dxa"/>
            <w:shd w:val="clear" w:color="auto" w:fill="auto"/>
          </w:tcPr>
          <w:p w14:paraId="145138B9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Children</w:t>
            </w:r>
          </w:p>
        </w:tc>
        <w:tc>
          <w:tcPr>
            <w:tcW w:w="4535" w:type="dxa"/>
            <w:shd w:val="clear" w:color="auto" w:fill="auto"/>
          </w:tcPr>
          <w:p w14:paraId="0AF9CFB3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Children have not been invited to attend the attend and should not be attending </w:t>
            </w:r>
          </w:p>
          <w:p w14:paraId="2CA1CC3D" w14:textId="7832DC7A" w:rsidR="00777EBE" w:rsidRPr="00777EBE" w:rsidRDefault="00124FB0" w:rsidP="00777EB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will advise anyone arriving with a child that they are responsible for the supervision of that child at all times whilst on site</w:t>
            </w:r>
          </w:p>
        </w:tc>
        <w:tc>
          <w:tcPr>
            <w:tcW w:w="4365" w:type="dxa"/>
            <w:shd w:val="clear" w:color="auto" w:fill="FCE0E0"/>
          </w:tcPr>
          <w:p w14:paraId="5624FB34" w14:textId="77777777" w:rsidR="00124FB0" w:rsidRPr="001960D0" w:rsidRDefault="00124FB0" w:rsidP="00124FB0">
            <w:pPr>
              <w:spacing w:before="60" w:after="60" w:line="240" w:lineRule="auto"/>
              <w:ind w:left="284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C5D8D3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381BF5D0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124FB0" w:rsidRPr="001960D0" w14:paraId="3BD74F8E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DDAC40A" w14:textId="77777777" w:rsidR="00124FB0" w:rsidRPr="001960D0" w:rsidRDefault="00124FB0" w:rsidP="00124FB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C9F9C75" w14:textId="77777777" w:rsidR="00124FB0" w:rsidRPr="001960D0" w:rsidRDefault="00124FB0" w:rsidP="00124FB0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Manual Handling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 when handling and moving objects during set up / take down.  Damage could also occur to property</w:t>
            </w:r>
          </w:p>
        </w:tc>
        <w:tc>
          <w:tcPr>
            <w:tcW w:w="1259" w:type="dxa"/>
            <w:shd w:val="clear" w:color="auto" w:fill="auto"/>
          </w:tcPr>
          <w:p w14:paraId="224212D7" w14:textId="77777777" w:rsidR="00124FB0" w:rsidRPr="001960D0" w:rsidRDefault="00124FB0" w:rsidP="00124FB0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5BD98FE1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University Facilities Team will be asked to set up trestle tables, chairs etc</w:t>
            </w:r>
          </w:p>
          <w:p w14:paraId="44719968" w14:textId="77777777" w:rsidR="00124FB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Exhibitors responsible for own arrangements for their own ‘brought in’ items</w:t>
            </w:r>
          </w:p>
          <w:p w14:paraId="55170F7C" w14:textId="77777777" w:rsidR="00124FB0" w:rsidRPr="001960D0" w:rsidRDefault="00124FB0" w:rsidP="00124FB0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may have to carry out some local handling of tables and chairs</w:t>
            </w:r>
          </w:p>
        </w:tc>
        <w:tc>
          <w:tcPr>
            <w:tcW w:w="4365" w:type="dxa"/>
            <w:shd w:val="clear" w:color="auto" w:fill="FCE0E0"/>
          </w:tcPr>
          <w:p w14:paraId="70B9E6AE" w14:textId="77777777" w:rsidR="00124FB0" w:rsidRDefault="00124FB0" w:rsidP="00124FB0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Check trestle tables secure ie legs locked in place before placing items on them</w:t>
            </w:r>
          </w:p>
          <w:p w14:paraId="26D38ADD" w14:textId="77777777" w:rsidR="00124FB0" w:rsidRDefault="00124FB0" w:rsidP="00124FB0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to not struggle to move chairs / tables and work in pairs if needed</w:t>
            </w:r>
          </w:p>
          <w:p w14:paraId="1C82F842" w14:textId="77777777" w:rsidR="00124FB0" w:rsidRPr="001960D0" w:rsidRDefault="00124FB0" w:rsidP="00124FB0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Exhibitors to be advised to seek staff assistance if needing to move items</w:t>
            </w:r>
          </w:p>
        </w:tc>
        <w:tc>
          <w:tcPr>
            <w:tcW w:w="1134" w:type="dxa"/>
            <w:shd w:val="clear" w:color="auto" w:fill="auto"/>
          </w:tcPr>
          <w:p w14:paraId="677AC9C0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Exhibitors</w:t>
            </w:r>
          </w:p>
          <w:p w14:paraId="6C9AB96B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6C82294" w14:textId="77777777" w:rsidR="00124FB0" w:rsidRDefault="00124FB0" w:rsidP="00124FB0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  <w:p w14:paraId="46E34009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171C82EC" w14:textId="77777777" w:rsidR="00124FB0" w:rsidRPr="001960D0" w:rsidRDefault="00124FB0" w:rsidP="00124FB0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22376" w:rsidRPr="001960D0" w14:paraId="1980762C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E13E0CA" w14:textId="77777777" w:rsidR="00822376" w:rsidRPr="001960D0" w:rsidRDefault="00822376" w:rsidP="0082237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BA375EE" w14:textId="77777777" w:rsidR="00822376" w:rsidRPr="001960D0" w:rsidRDefault="00822376" w:rsidP="00822376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Slips / Trips / Falls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 from poor housekeeping eg blocked walkways, spills not cleared</w:t>
            </w:r>
          </w:p>
        </w:tc>
        <w:tc>
          <w:tcPr>
            <w:tcW w:w="1259" w:type="dxa"/>
            <w:shd w:val="clear" w:color="auto" w:fill="auto"/>
          </w:tcPr>
          <w:p w14:paraId="78F00F6A" w14:textId="705712F8" w:rsidR="00822376" w:rsidRPr="001960D0" w:rsidRDefault="00822376" w:rsidP="00822376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2C8C3B56" w14:textId="77777777" w:rsidR="00822376" w:rsidRPr="005F7C10" w:rsidRDefault="00822376" w:rsidP="00822376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t>See Venue / Location above</w:t>
            </w:r>
          </w:p>
          <w:p w14:paraId="1ACD2664" w14:textId="77777777" w:rsidR="00822376" w:rsidRDefault="00822376" w:rsidP="0082237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will check walkways / exits kept clear throughout event</w:t>
            </w:r>
          </w:p>
          <w:p w14:paraId="4B467D21" w14:textId="63EA19E7" w:rsidR="00822376" w:rsidRPr="000B162E" w:rsidRDefault="00822376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Electrical cables will be positioned away from walkways (where possible) and covered with cable covers and / or taped to minimize risk of trip hazards</w:t>
            </w:r>
          </w:p>
        </w:tc>
        <w:tc>
          <w:tcPr>
            <w:tcW w:w="4365" w:type="dxa"/>
            <w:shd w:val="clear" w:color="auto" w:fill="FCE0E0"/>
          </w:tcPr>
          <w:p w14:paraId="6A3B3AAB" w14:textId="77777777" w:rsidR="00822376" w:rsidRPr="005F7C10" w:rsidRDefault="00822376" w:rsidP="00822376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t>See Venue / Location above</w:t>
            </w:r>
          </w:p>
          <w:p w14:paraId="7D46B099" w14:textId="77777777" w:rsidR="00822376" w:rsidRDefault="00822376" w:rsidP="00822376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Arrange paper towels / bin bags to clear rubbish and spills</w:t>
            </w:r>
          </w:p>
          <w:p w14:paraId="1BF1CECD" w14:textId="77777777" w:rsidR="00822376" w:rsidRPr="001960D0" w:rsidRDefault="00822376" w:rsidP="00822376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Monitor during and post event eg spills, walkways and doors kept clear, cable management and take action as needed</w:t>
            </w:r>
          </w:p>
        </w:tc>
        <w:tc>
          <w:tcPr>
            <w:tcW w:w="1134" w:type="dxa"/>
            <w:shd w:val="clear" w:color="auto" w:fill="auto"/>
          </w:tcPr>
          <w:p w14:paraId="269753A2" w14:textId="77777777" w:rsidR="00822376" w:rsidRDefault="00822376" w:rsidP="0082237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6703A6E" w14:textId="77777777" w:rsidR="00822376" w:rsidRDefault="00822376" w:rsidP="0082237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  <w:p w14:paraId="6A7E59DC" w14:textId="77777777" w:rsidR="00822376" w:rsidRPr="005F7C10" w:rsidRDefault="00822376" w:rsidP="0082237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</w:tc>
        <w:tc>
          <w:tcPr>
            <w:tcW w:w="1136" w:type="dxa"/>
            <w:shd w:val="clear" w:color="auto" w:fill="auto"/>
          </w:tcPr>
          <w:p w14:paraId="0C4A4D34" w14:textId="77777777" w:rsidR="00822376" w:rsidRPr="001960D0" w:rsidRDefault="00822376" w:rsidP="00822376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533CB2" w:rsidRPr="001960D0" w14:paraId="4867E00C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284A69F" w14:textId="77777777" w:rsidR="00533CB2" w:rsidRPr="001960D0" w:rsidRDefault="00533CB2" w:rsidP="00533C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BA9838F" w14:textId="77777777" w:rsidR="00533CB2" w:rsidRPr="00E30D3A" w:rsidRDefault="00533CB2" w:rsidP="0053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cs="Arial"/>
                <w:b/>
                <w:szCs w:val="24"/>
              </w:rPr>
              <w:t xml:space="preserve">Temporary Partition Walls </w:t>
            </w:r>
            <w:r>
              <w:rPr>
                <w:rFonts w:cs="Arial"/>
                <w:bCs/>
                <w:szCs w:val="24"/>
              </w:rPr>
              <w:t xml:space="preserve">- </w:t>
            </w:r>
            <w:r w:rsidRPr="00E30D3A">
              <w:rPr>
                <w:rFonts w:eastAsia="Times New Roman" w:cs="Calibri"/>
                <w:lang w:eastAsia="en-GB"/>
              </w:rPr>
              <w:t xml:space="preserve">Injury from construction equipment or works.  </w:t>
            </w:r>
          </w:p>
          <w:p w14:paraId="05F8E128" w14:textId="6C46F03E" w:rsidR="00533CB2" w:rsidRPr="00822376" w:rsidRDefault="00533CB2" w:rsidP="0053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E30D3A">
              <w:rPr>
                <w:rFonts w:eastAsia="Times New Roman" w:cs="Calibri"/>
                <w:lang w:eastAsia="en-GB"/>
              </w:rPr>
              <w:t>Damage to building infrastructure</w:t>
            </w:r>
          </w:p>
        </w:tc>
        <w:tc>
          <w:tcPr>
            <w:tcW w:w="1259" w:type="dxa"/>
            <w:shd w:val="clear" w:color="auto" w:fill="auto"/>
          </w:tcPr>
          <w:p w14:paraId="37E26245" w14:textId="54894915" w:rsidR="00533CB2" w:rsidRPr="001960D0" w:rsidRDefault="00533CB2" w:rsidP="00533CB2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09EDA483" w14:textId="2C6D78EA" w:rsidR="00533CB2" w:rsidRPr="00E30D3A" w:rsidRDefault="00533CB2" w:rsidP="00533CB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left="227" w:hanging="227"/>
              <w:rPr>
                <w:rFonts w:eastAsia="Times New Roman" w:cs="Calibri"/>
                <w:lang w:eastAsia="en-GB"/>
              </w:rPr>
            </w:pPr>
            <w:r w:rsidRPr="00E30D3A">
              <w:rPr>
                <w:rFonts w:eastAsia="Times New Roman" w:cs="Calibri"/>
                <w:lang w:eastAsia="en-GB"/>
              </w:rPr>
              <w:t>No construction work can take place without the consent of the Estates Department</w:t>
            </w:r>
          </w:p>
          <w:p w14:paraId="5D18B735" w14:textId="7EC4653F" w:rsidR="00533CB2" w:rsidRPr="00E30D3A" w:rsidRDefault="00533CB2" w:rsidP="00533CB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left="227" w:hanging="227"/>
              <w:rPr>
                <w:rFonts w:eastAsia="Times New Roman" w:cs="Calibri"/>
                <w:lang w:eastAsia="en-GB"/>
              </w:rPr>
            </w:pPr>
            <w:r w:rsidRPr="00E30D3A">
              <w:rPr>
                <w:rFonts w:eastAsia="Times New Roman" w:cs="Calibri"/>
                <w:lang w:eastAsia="en-GB"/>
              </w:rPr>
              <w:t>All works, partition walls, structures must be built to recognised standards and be checked prior to public access by a competent person</w:t>
            </w:r>
          </w:p>
          <w:p w14:paraId="02E0C763" w14:textId="5AC9F54D" w:rsidR="00533CB2" w:rsidRPr="00533CB2" w:rsidRDefault="00533CB2" w:rsidP="00533CB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left="227" w:hanging="227"/>
              <w:rPr>
                <w:rFonts w:eastAsia="Times New Roman" w:cs="Calibri"/>
                <w:lang w:eastAsia="en-GB"/>
              </w:rPr>
            </w:pPr>
            <w:r w:rsidRPr="00E30D3A">
              <w:rPr>
                <w:rFonts w:eastAsia="Times New Roman" w:cs="Calibri"/>
                <w:lang w:eastAsia="en-GB"/>
              </w:rPr>
              <w:t>Separate risk assessments will be required for construction work</w:t>
            </w:r>
          </w:p>
        </w:tc>
        <w:tc>
          <w:tcPr>
            <w:tcW w:w="4365" w:type="dxa"/>
            <w:shd w:val="clear" w:color="auto" w:fill="FCE0E0"/>
          </w:tcPr>
          <w:p w14:paraId="044DDE09" w14:textId="12E6CB65" w:rsidR="00533CB2" w:rsidRPr="005F7C10" w:rsidRDefault="00533CB2" w:rsidP="00533CB2">
            <w:pPr>
              <w:numPr>
                <w:ilvl w:val="0"/>
                <w:numId w:val="34"/>
              </w:numPr>
              <w:spacing w:before="60" w:after="60" w:line="240" w:lineRule="auto"/>
              <w:ind w:left="227" w:hanging="227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 xml:space="preserve">Notify estates department of need for partition walls in plenty of time pre event to ensure </w:t>
            </w:r>
            <w:r w:rsidR="00BA5362">
              <w:rPr>
                <w:rFonts w:cs="Arial"/>
                <w:bCs/>
                <w:iCs/>
                <w:szCs w:val="24"/>
              </w:rPr>
              <w:t>managed by estates</w:t>
            </w:r>
          </w:p>
        </w:tc>
        <w:tc>
          <w:tcPr>
            <w:tcW w:w="1134" w:type="dxa"/>
            <w:shd w:val="clear" w:color="auto" w:fill="auto"/>
          </w:tcPr>
          <w:p w14:paraId="3A4BB42C" w14:textId="39DD79F0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Event Organiser</w:t>
            </w:r>
          </w:p>
        </w:tc>
        <w:tc>
          <w:tcPr>
            <w:tcW w:w="1136" w:type="dxa"/>
            <w:shd w:val="clear" w:color="auto" w:fill="auto"/>
          </w:tcPr>
          <w:p w14:paraId="054BCF99" w14:textId="77777777" w:rsidR="00533CB2" w:rsidRPr="001960D0" w:rsidRDefault="00533CB2" w:rsidP="00533CB2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533CB2" w:rsidRPr="001960D0" w14:paraId="30A9E1D4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04224E3" w14:textId="77777777" w:rsidR="00533CB2" w:rsidRPr="001960D0" w:rsidRDefault="00533CB2" w:rsidP="00533C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48E0D6E" w14:textId="77777777" w:rsidR="00533CB2" w:rsidRPr="001960D0" w:rsidRDefault="00533CB2" w:rsidP="00533CB2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Electrical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 or property damage if electrical items not fit for purpose or used incorrectly</w:t>
            </w:r>
          </w:p>
        </w:tc>
        <w:tc>
          <w:tcPr>
            <w:tcW w:w="1259" w:type="dxa"/>
            <w:shd w:val="clear" w:color="auto" w:fill="auto"/>
          </w:tcPr>
          <w:p w14:paraId="48A5FD44" w14:textId="77777777" w:rsidR="00533CB2" w:rsidRPr="001960D0" w:rsidRDefault="00533CB2" w:rsidP="00533CB2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22F1FE69" w14:textId="77777777" w:rsidR="00533CB2" w:rsidRPr="005F7C10" w:rsidRDefault="00533CB2" w:rsidP="00533CB2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>Slips / Trips / Falls</w:t>
            </w:r>
            <w:r w:rsidRPr="005F7C10">
              <w:rPr>
                <w:rFonts w:cs="Arial"/>
                <w:b/>
                <w:i/>
                <w:szCs w:val="24"/>
              </w:rPr>
              <w:t xml:space="preserve"> above</w:t>
            </w:r>
          </w:p>
          <w:p w14:paraId="38B9BA6B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Only standard portable appliances used eg lap tops, projectors, phone chargers</w:t>
            </w:r>
          </w:p>
          <w:p w14:paraId="48315E28" w14:textId="1396C2F4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Fixed electrical systems inspected and maintained by a CS appointed contractor</w:t>
            </w:r>
          </w:p>
          <w:p w14:paraId="28F602B8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University supplied equipment (eg AV, IT) is PAT Tested at regular intervals</w:t>
            </w:r>
          </w:p>
          <w:p w14:paraId="1B28EB01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Exhibitors instructed all ‘brought in’ portable electrical appliances to be PAT Tested</w:t>
            </w:r>
          </w:p>
          <w:p w14:paraId="453F2D59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Electrical equipment will be kept at least 1m away from liquids</w:t>
            </w:r>
          </w:p>
          <w:p w14:paraId="00D30CB0" w14:textId="6D661237" w:rsidR="00BA5362" w:rsidRPr="00BC3F7E" w:rsidRDefault="00BA536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Estates Management contacted and agreed an electrician is not required to be present during the event but will be on-call if needed</w:t>
            </w:r>
          </w:p>
        </w:tc>
        <w:tc>
          <w:tcPr>
            <w:tcW w:w="4365" w:type="dxa"/>
            <w:shd w:val="clear" w:color="auto" w:fill="FCE0E0"/>
          </w:tcPr>
          <w:p w14:paraId="3B9A661F" w14:textId="77777777" w:rsidR="00533CB2" w:rsidRPr="005F7C10" w:rsidRDefault="00533CB2" w:rsidP="00533CB2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lastRenderedPageBreak/>
              <w:t xml:space="preserve">See </w:t>
            </w:r>
            <w:r>
              <w:rPr>
                <w:rFonts w:cs="Arial"/>
                <w:b/>
                <w:i/>
                <w:szCs w:val="24"/>
              </w:rPr>
              <w:t>Slips / Trips / Falls</w:t>
            </w:r>
            <w:r w:rsidRPr="005F7C10">
              <w:rPr>
                <w:rFonts w:cs="Arial"/>
                <w:b/>
                <w:i/>
                <w:szCs w:val="24"/>
              </w:rPr>
              <w:t xml:space="preserve"> above</w:t>
            </w:r>
          </w:p>
          <w:p w14:paraId="2D4C9738" w14:textId="77777777" w:rsidR="00533CB2" w:rsidRPr="00F47577" w:rsidRDefault="00533CB2" w:rsidP="00533CB2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520A1F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5C5B2BBD" w14:textId="77777777" w:rsidR="00533CB2" w:rsidRPr="001960D0" w:rsidRDefault="00533CB2" w:rsidP="00533CB2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533CB2" w:rsidRPr="001960D0" w14:paraId="4960303B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04958A3" w14:textId="77777777" w:rsidR="00533CB2" w:rsidRPr="001960D0" w:rsidRDefault="00533CB2" w:rsidP="00533C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8DA17CB" w14:textId="77777777" w:rsidR="00533CB2" w:rsidRPr="00E96923" w:rsidRDefault="00533CB2" w:rsidP="00533CB2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Emergencies </w:t>
            </w:r>
            <w:r>
              <w:rPr>
                <w:rFonts w:cs="Arial"/>
                <w:szCs w:val="24"/>
              </w:rPr>
              <w:t>– fire, first aid, delay in responding to an accident / incident due to unfamiliarity with procedures</w:t>
            </w:r>
          </w:p>
        </w:tc>
        <w:tc>
          <w:tcPr>
            <w:tcW w:w="1259" w:type="dxa"/>
            <w:shd w:val="clear" w:color="auto" w:fill="auto"/>
          </w:tcPr>
          <w:p w14:paraId="01CF9188" w14:textId="77777777" w:rsidR="00533CB2" w:rsidRPr="001960D0" w:rsidRDefault="00533CB2" w:rsidP="00533CB2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>, exhibitors</w:t>
            </w:r>
          </w:p>
        </w:tc>
        <w:tc>
          <w:tcPr>
            <w:tcW w:w="4535" w:type="dxa"/>
            <w:shd w:val="clear" w:color="auto" w:fill="auto"/>
          </w:tcPr>
          <w:p w14:paraId="130EB487" w14:textId="77777777" w:rsidR="00533CB2" w:rsidRPr="005F7C10" w:rsidRDefault="00533CB2" w:rsidP="00533CB2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t xml:space="preserve">See Venue / Location </w:t>
            </w:r>
            <w:r>
              <w:rPr>
                <w:rFonts w:cs="Arial"/>
                <w:b/>
                <w:i/>
                <w:szCs w:val="24"/>
              </w:rPr>
              <w:t xml:space="preserve">and Accessibility </w:t>
            </w:r>
            <w:r w:rsidRPr="005F7C10">
              <w:rPr>
                <w:rFonts w:cs="Arial"/>
                <w:b/>
                <w:i/>
                <w:szCs w:val="24"/>
              </w:rPr>
              <w:t>above</w:t>
            </w:r>
          </w:p>
          <w:p w14:paraId="36306BD4" w14:textId="3AFD3BAC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Building fitted with fire detection and notification system inspected and maintained by a CS appointed contractor</w:t>
            </w:r>
          </w:p>
          <w:p w14:paraId="7AA57D4F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call points throughout building</w:t>
            </w:r>
          </w:p>
          <w:p w14:paraId="39C53530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will aid evacuation if needed</w:t>
            </w:r>
          </w:p>
          <w:p w14:paraId="5D964515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Event is on ground floor so use of Refuge Points (for those unable to evacuate via stairs) not envisaged</w:t>
            </w:r>
          </w:p>
          <w:p w14:paraId="02B50EAB" w14:textId="77777777" w:rsidR="00533CB2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Security Staff in adjacent building who are all First Aid and Defibrillator trained (ext 2795)</w:t>
            </w:r>
          </w:p>
          <w:p w14:paraId="68E51DE1" w14:textId="2D768595" w:rsidR="00533CB2" w:rsidRPr="00E96923" w:rsidRDefault="00533CB2" w:rsidP="00533CB2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There are no staff first aid trained but a basic first aid kit will be taken to the event</w:t>
            </w:r>
          </w:p>
        </w:tc>
        <w:tc>
          <w:tcPr>
            <w:tcW w:w="4365" w:type="dxa"/>
            <w:shd w:val="clear" w:color="auto" w:fill="FCE0E0"/>
          </w:tcPr>
          <w:p w14:paraId="38B8261E" w14:textId="77777777" w:rsidR="00533CB2" w:rsidRPr="005F7C10" w:rsidRDefault="00533CB2" w:rsidP="00533CB2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t xml:space="preserve">See Venue / Location </w:t>
            </w:r>
            <w:r>
              <w:rPr>
                <w:rFonts w:cs="Arial"/>
                <w:b/>
                <w:i/>
                <w:szCs w:val="24"/>
              </w:rPr>
              <w:t xml:space="preserve">and Accessibility </w:t>
            </w:r>
            <w:r w:rsidRPr="005F7C10">
              <w:rPr>
                <w:rFonts w:cs="Arial"/>
                <w:b/>
                <w:i/>
                <w:szCs w:val="24"/>
              </w:rPr>
              <w:t>above</w:t>
            </w:r>
          </w:p>
          <w:p w14:paraId="0B9B1D86" w14:textId="77777777" w:rsidR="00533CB2" w:rsidRDefault="00533CB2" w:rsidP="00533CB2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Brief exhibitors, staff and students assisting at the event in the action to take if the fire alarm sounds, if they require first aid or have general concerns</w:t>
            </w:r>
          </w:p>
          <w:p w14:paraId="58C8623D" w14:textId="5951C9C5" w:rsidR="00533CB2" w:rsidRPr="002331C9" w:rsidRDefault="00533CB2" w:rsidP="00533CB2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exhibitors arrive with helium balloons ask Security (ext 2795) to turn off the overhead beam detector in JP Hall which could be triggered if crossed by ‘floating’ objects</w:t>
            </w:r>
          </w:p>
        </w:tc>
        <w:tc>
          <w:tcPr>
            <w:tcW w:w="1134" w:type="dxa"/>
            <w:shd w:val="clear" w:color="auto" w:fill="auto"/>
          </w:tcPr>
          <w:p w14:paraId="1A6D9FB8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A951C59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  <w:p w14:paraId="456D7F9D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4C5787D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6AC0DB4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4196985E" w14:textId="77777777" w:rsidR="00533CB2" w:rsidRPr="001960D0" w:rsidRDefault="00533CB2" w:rsidP="00533CB2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533CB2" w:rsidRPr="001960D0" w14:paraId="18DE3B7E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left w:val="nil"/>
              <w:bottom w:val="double" w:sz="4" w:space="0" w:color="A70021"/>
              <w:right w:val="nil"/>
            </w:tcBorders>
          </w:tcPr>
          <w:p w14:paraId="0A27185C" w14:textId="77777777" w:rsidR="00533CB2" w:rsidRDefault="00533CB2" w:rsidP="00533CB2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</w:tr>
      <w:tr w:rsidR="00533CB2" w:rsidRPr="001960D0" w14:paraId="6FA585EF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209D21D9" w14:textId="77777777" w:rsidR="00533CB2" w:rsidRPr="00305622" w:rsidRDefault="00533CB2" w:rsidP="00533CB2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472849D7" w14:textId="77777777" w:rsidR="00533CB2" w:rsidRPr="001960D0" w:rsidRDefault="00533CB2" w:rsidP="00533CB2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3C1010F2" w14:textId="77777777" w:rsidR="0037417E" w:rsidRPr="001960D0" w:rsidRDefault="0037417E" w:rsidP="00BD652D">
      <w:pPr>
        <w:rPr>
          <w:b/>
          <w:sz w:val="24"/>
          <w:szCs w:val="24"/>
          <w:lang w:val="en-GB"/>
        </w:rPr>
      </w:pPr>
    </w:p>
    <w:sectPr w:rsidR="0037417E" w:rsidRPr="001960D0" w:rsidSect="00F0057E">
      <w:footerReference w:type="default" r:id="rId13"/>
      <w:footerReference w:type="first" r:id="rId14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554E" w14:textId="77777777" w:rsidR="00145797" w:rsidRDefault="00145797" w:rsidP="00C00C18">
      <w:pPr>
        <w:spacing w:after="0" w:line="240" w:lineRule="auto"/>
      </w:pPr>
      <w:r>
        <w:separator/>
      </w:r>
    </w:p>
  </w:endnote>
  <w:endnote w:type="continuationSeparator" w:id="0">
    <w:p w14:paraId="150B0D8B" w14:textId="77777777" w:rsidR="00145797" w:rsidRDefault="00145797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1011C5" w:rsidRPr="002D0053" w14:paraId="46592B9D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42F1C008" w14:textId="77777777" w:rsidR="001011C5" w:rsidRPr="002D0053" w:rsidRDefault="001011C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F60CDB8" w14:textId="77777777" w:rsidR="001011C5" w:rsidRPr="002D0053" w:rsidRDefault="00123712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Exhibition</w:t>
          </w:r>
          <w:r w:rsidR="001011C5">
            <w:rPr>
              <w:sz w:val="18"/>
              <w:szCs w:val="18"/>
            </w:rPr>
            <w:t xml:space="preserve"> on University Premises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FC0EB60" w14:textId="77777777" w:rsidR="001011C5" w:rsidRPr="002D0053" w:rsidRDefault="001011C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712B26B" w14:textId="77777777" w:rsidR="001011C5" w:rsidRPr="002D0053" w:rsidRDefault="001011C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35385F7" w14:textId="7C53BBF9" w:rsidR="001011C5" w:rsidRPr="002D0053" w:rsidRDefault="00184BD7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6473F6E" w14:textId="77777777" w:rsidR="001011C5" w:rsidRPr="002D0053" w:rsidRDefault="001011C5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D16D0B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D16D0B"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65EAF8E7" w14:textId="77777777" w:rsidR="001011C5" w:rsidRPr="002D0053" w:rsidRDefault="001011C5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1011C5" w:rsidRPr="002D0053" w14:paraId="7CBD7B61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12CB5BEC" w14:textId="77777777" w:rsidR="001011C5" w:rsidRPr="002D0053" w:rsidRDefault="001011C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E92181F" w14:textId="77777777" w:rsidR="001011C5" w:rsidRPr="002D0053" w:rsidRDefault="001011C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5B42E42" w14:textId="77777777" w:rsidR="001011C5" w:rsidRPr="002D0053" w:rsidRDefault="001011C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C5F8161" w14:textId="77777777" w:rsidR="001011C5" w:rsidRPr="002D0053" w:rsidRDefault="001011C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6F33332" w14:textId="77777777" w:rsidR="001011C5" w:rsidRPr="002D0053" w:rsidRDefault="001011C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AFFA72F" w14:textId="77777777" w:rsidR="001011C5" w:rsidRPr="002D0053" w:rsidRDefault="001011C5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2312AD"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0C33391E" w14:textId="77777777" w:rsidR="001011C5" w:rsidRPr="00F0057E" w:rsidRDefault="001011C5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7A15" w14:textId="77777777" w:rsidR="00145797" w:rsidRDefault="00145797" w:rsidP="00C00C18">
      <w:pPr>
        <w:spacing w:after="0" w:line="240" w:lineRule="auto"/>
      </w:pPr>
      <w:r>
        <w:separator/>
      </w:r>
    </w:p>
  </w:footnote>
  <w:footnote w:type="continuationSeparator" w:id="0">
    <w:p w14:paraId="65176194" w14:textId="77777777" w:rsidR="00145797" w:rsidRDefault="00145797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46E"/>
    <w:multiLevelType w:val="hybridMultilevel"/>
    <w:tmpl w:val="346A2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9F"/>
    <w:multiLevelType w:val="hybridMultilevel"/>
    <w:tmpl w:val="6A50F386"/>
    <w:lvl w:ilvl="0" w:tplc="E4A678A2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8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70B53"/>
    <w:multiLevelType w:val="hybridMultilevel"/>
    <w:tmpl w:val="5C627D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80CB0"/>
    <w:multiLevelType w:val="hybridMultilevel"/>
    <w:tmpl w:val="C1FE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03C4F"/>
    <w:multiLevelType w:val="hybridMultilevel"/>
    <w:tmpl w:val="A768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7494D"/>
    <w:multiLevelType w:val="hybridMultilevel"/>
    <w:tmpl w:val="B3B00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664872">
    <w:abstractNumId w:val="7"/>
  </w:num>
  <w:num w:numId="2" w16cid:durableId="1240483582">
    <w:abstractNumId w:val="25"/>
  </w:num>
  <w:num w:numId="3" w16cid:durableId="822359655">
    <w:abstractNumId w:val="29"/>
  </w:num>
  <w:num w:numId="4" w16cid:durableId="1529248189">
    <w:abstractNumId w:val="3"/>
  </w:num>
  <w:num w:numId="5" w16cid:durableId="284192130">
    <w:abstractNumId w:val="26"/>
  </w:num>
  <w:num w:numId="6" w16cid:durableId="1711832726">
    <w:abstractNumId w:val="16"/>
  </w:num>
  <w:num w:numId="7" w16cid:durableId="452407267">
    <w:abstractNumId w:val="33"/>
  </w:num>
  <w:num w:numId="8" w16cid:durableId="1220092701">
    <w:abstractNumId w:val="10"/>
  </w:num>
  <w:num w:numId="9" w16cid:durableId="1168983481">
    <w:abstractNumId w:val="27"/>
  </w:num>
  <w:num w:numId="10" w16cid:durableId="2145154073">
    <w:abstractNumId w:val="13"/>
  </w:num>
  <w:num w:numId="11" w16cid:durableId="879049804">
    <w:abstractNumId w:val="22"/>
  </w:num>
  <w:num w:numId="12" w16cid:durableId="1810784245">
    <w:abstractNumId w:val="12"/>
  </w:num>
  <w:num w:numId="13" w16cid:durableId="2077699862">
    <w:abstractNumId w:val="6"/>
  </w:num>
  <w:num w:numId="14" w16cid:durableId="661931717">
    <w:abstractNumId w:val="19"/>
  </w:num>
  <w:num w:numId="15" w16cid:durableId="915477580">
    <w:abstractNumId w:val="14"/>
  </w:num>
  <w:num w:numId="16" w16cid:durableId="1532376256">
    <w:abstractNumId w:val="4"/>
  </w:num>
  <w:num w:numId="17" w16cid:durableId="1620919191">
    <w:abstractNumId w:val="31"/>
  </w:num>
  <w:num w:numId="18" w16cid:durableId="1172456160">
    <w:abstractNumId w:val="8"/>
  </w:num>
  <w:num w:numId="19" w16cid:durableId="1495339798">
    <w:abstractNumId w:val="32"/>
  </w:num>
  <w:num w:numId="20" w16cid:durableId="1461805280">
    <w:abstractNumId w:val="11"/>
  </w:num>
  <w:num w:numId="21" w16cid:durableId="1103376001">
    <w:abstractNumId w:val="23"/>
  </w:num>
  <w:num w:numId="22" w16cid:durableId="1183519509">
    <w:abstractNumId w:val="21"/>
  </w:num>
  <w:num w:numId="23" w16cid:durableId="965162991">
    <w:abstractNumId w:val="30"/>
  </w:num>
  <w:num w:numId="24" w16cid:durableId="75828935">
    <w:abstractNumId w:val="9"/>
  </w:num>
  <w:num w:numId="25" w16cid:durableId="217673608">
    <w:abstractNumId w:val="5"/>
  </w:num>
  <w:num w:numId="26" w16cid:durableId="1966041589">
    <w:abstractNumId w:val="15"/>
  </w:num>
  <w:num w:numId="27" w16cid:durableId="778840386">
    <w:abstractNumId w:val="20"/>
  </w:num>
  <w:num w:numId="28" w16cid:durableId="181827118">
    <w:abstractNumId w:val="0"/>
  </w:num>
  <w:num w:numId="29" w16cid:durableId="279730016">
    <w:abstractNumId w:val="17"/>
  </w:num>
  <w:num w:numId="30" w16cid:durableId="1070537743">
    <w:abstractNumId w:val="1"/>
  </w:num>
  <w:num w:numId="31" w16cid:durableId="793913093">
    <w:abstractNumId w:val="28"/>
  </w:num>
  <w:num w:numId="32" w16cid:durableId="2017418384">
    <w:abstractNumId w:val="18"/>
  </w:num>
  <w:num w:numId="33" w16cid:durableId="841971605">
    <w:abstractNumId w:val="24"/>
  </w:num>
  <w:num w:numId="34" w16cid:durableId="19271823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B"/>
    <w:rsid w:val="00004488"/>
    <w:rsid w:val="00010073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57FFC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96C31"/>
    <w:rsid w:val="000A4D5B"/>
    <w:rsid w:val="000B162E"/>
    <w:rsid w:val="000C37BA"/>
    <w:rsid w:val="000D52C2"/>
    <w:rsid w:val="000D54C6"/>
    <w:rsid w:val="000D794D"/>
    <w:rsid w:val="000F3E72"/>
    <w:rsid w:val="0010060C"/>
    <w:rsid w:val="001011C5"/>
    <w:rsid w:val="0010330C"/>
    <w:rsid w:val="001121E2"/>
    <w:rsid w:val="00113160"/>
    <w:rsid w:val="00121888"/>
    <w:rsid w:val="00123712"/>
    <w:rsid w:val="001245C1"/>
    <w:rsid w:val="00124FB0"/>
    <w:rsid w:val="00131CD4"/>
    <w:rsid w:val="00133495"/>
    <w:rsid w:val="001402C1"/>
    <w:rsid w:val="00140A48"/>
    <w:rsid w:val="00145797"/>
    <w:rsid w:val="001543ED"/>
    <w:rsid w:val="00160419"/>
    <w:rsid w:val="001628BC"/>
    <w:rsid w:val="001632D1"/>
    <w:rsid w:val="00171C20"/>
    <w:rsid w:val="00174D40"/>
    <w:rsid w:val="00175012"/>
    <w:rsid w:val="00176829"/>
    <w:rsid w:val="00177ABC"/>
    <w:rsid w:val="00184BD7"/>
    <w:rsid w:val="00185ECC"/>
    <w:rsid w:val="00186EC1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7B5A"/>
    <w:rsid w:val="001E3D69"/>
    <w:rsid w:val="001E4084"/>
    <w:rsid w:val="001E607F"/>
    <w:rsid w:val="001F2ED8"/>
    <w:rsid w:val="001F3418"/>
    <w:rsid w:val="001F4692"/>
    <w:rsid w:val="00200107"/>
    <w:rsid w:val="00200829"/>
    <w:rsid w:val="00201A38"/>
    <w:rsid w:val="00202A93"/>
    <w:rsid w:val="00203F28"/>
    <w:rsid w:val="002110B5"/>
    <w:rsid w:val="0021494F"/>
    <w:rsid w:val="002173FA"/>
    <w:rsid w:val="0022692A"/>
    <w:rsid w:val="002269DE"/>
    <w:rsid w:val="002312AD"/>
    <w:rsid w:val="00232601"/>
    <w:rsid w:val="002331C9"/>
    <w:rsid w:val="00241378"/>
    <w:rsid w:val="00254BF7"/>
    <w:rsid w:val="002551E7"/>
    <w:rsid w:val="002568D5"/>
    <w:rsid w:val="0026781F"/>
    <w:rsid w:val="00274DDF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40348"/>
    <w:rsid w:val="003404EC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177"/>
    <w:rsid w:val="003B76D2"/>
    <w:rsid w:val="003C169C"/>
    <w:rsid w:val="003C39A1"/>
    <w:rsid w:val="003C4D52"/>
    <w:rsid w:val="003D7585"/>
    <w:rsid w:val="003E3BB9"/>
    <w:rsid w:val="00400D7A"/>
    <w:rsid w:val="00402D14"/>
    <w:rsid w:val="00403164"/>
    <w:rsid w:val="004069AB"/>
    <w:rsid w:val="004076DA"/>
    <w:rsid w:val="0041244C"/>
    <w:rsid w:val="0041484E"/>
    <w:rsid w:val="00417B36"/>
    <w:rsid w:val="00417F9B"/>
    <w:rsid w:val="0042003A"/>
    <w:rsid w:val="00421B0F"/>
    <w:rsid w:val="004228CE"/>
    <w:rsid w:val="00422E14"/>
    <w:rsid w:val="00426190"/>
    <w:rsid w:val="004279EB"/>
    <w:rsid w:val="004302C3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18C7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1A45"/>
    <w:rsid w:val="004A21BB"/>
    <w:rsid w:val="004A5C70"/>
    <w:rsid w:val="004B0CA5"/>
    <w:rsid w:val="004B26C5"/>
    <w:rsid w:val="004B41E7"/>
    <w:rsid w:val="004B5EB8"/>
    <w:rsid w:val="004B6775"/>
    <w:rsid w:val="004C1A32"/>
    <w:rsid w:val="004C26D8"/>
    <w:rsid w:val="004D05FD"/>
    <w:rsid w:val="004D2232"/>
    <w:rsid w:val="004D5491"/>
    <w:rsid w:val="004D588C"/>
    <w:rsid w:val="004D74F9"/>
    <w:rsid w:val="004E0D02"/>
    <w:rsid w:val="004E5DA4"/>
    <w:rsid w:val="004F160A"/>
    <w:rsid w:val="004F6044"/>
    <w:rsid w:val="00502E77"/>
    <w:rsid w:val="00510490"/>
    <w:rsid w:val="00510E03"/>
    <w:rsid w:val="00510E6E"/>
    <w:rsid w:val="0051197D"/>
    <w:rsid w:val="00511FE5"/>
    <w:rsid w:val="00513922"/>
    <w:rsid w:val="00521761"/>
    <w:rsid w:val="00521C22"/>
    <w:rsid w:val="00521F87"/>
    <w:rsid w:val="005256A5"/>
    <w:rsid w:val="005339BC"/>
    <w:rsid w:val="00533CB2"/>
    <w:rsid w:val="00536AB4"/>
    <w:rsid w:val="005370F9"/>
    <w:rsid w:val="0053794F"/>
    <w:rsid w:val="005434EF"/>
    <w:rsid w:val="0054407D"/>
    <w:rsid w:val="00547925"/>
    <w:rsid w:val="00547BDC"/>
    <w:rsid w:val="00551094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21D7"/>
    <w:rsid w:val="005D4CCE"/>
    <w:rsid w:val="005E2E3E"/>
    <w:rsid w:val="005E5092"/>
    <w:rsid w:val="005E79AB"/>
    <w:rsid w:val="005F2275"/>
    <w:rsid w:val="005F3485"/>
    <w:rsid w:val="005F6021"/>
    <w:rsid w:val="005F7C10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B1BB5"/>
    <w:rsid w:val="006B4612"/>
    <w:rsid w:val="006B4EC4"/>
    <w:rsid w:val="006B4FF5"/>
    <w:rsid w:val="006B7B1D"/>
    <w:rsid w:val="006C3251"/>
    <w:rsid w:val="006E2B44"/>
    <w:rsid w:val="006F0248"/>
    <w:rsid w:val="006F3526"/>
    <w:rsid w:val="006F7AA1"/>
    <w:rsid w:val="00701C01"/>
    <w:rsid w:val="00702706"/>
    <w:rsid w:val="00712AE8"/>
    <w:rsid w:val="00716428"/>
    <w:rsid w:val="007166A4"/>
    <w:rsid w:val="007225E3"/>
    <w:rsid w:val="0072371E"/>
    <w:rsid w:val="00725E49"/>
    <w:rsid w:val="00732AC6"/>
    <w:rsid w:val="0073391B"/>
    <w:rsid w:val="00734247"/>
    <w:rsid w:val="00734EDB"/>
    <w:rsid w:val="00737384"/>
    <w:rsid w:val="00747CFD"/>
    <w:rsid w:val="00761902"/>
    <w:rsid w:val="00762509"/>
    <w:rsid w:val="00762822"/>
    <w:rsid w:val="00765EE6"/>
    <w:rsid w:val="007703D4"/>
    <w:rsid w:val="0077737C"/>
    <w:rsid w:val="00777EBE"/>
    <w:rsid w:val="0078117A"/>
    <w:rsid w:val="007829EC"/>
    <w:rsid w:val="00790C28"/>
    <w:rsid w:val="00797ACA"/>
    <w:rsid w:val="007A0A6B"/>
    <w:rsid w:val="007A30C5"/>
    <w:rsid w:val="007A332D"/>
    <w:rsid w:val="007A5CA8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376"/>
    <w:rsid w:val="008226F3"/>
    <w:rsid w:val="00822CBE"/>
    <w:rsid w:val="008232E9"/>
    <w:rsid w:val="00826384"/>
    <w:rsid w:val="00844A37"/>
    <w:rsid w:val="00845FF8"/>
    <w:rsid w:val="008546C5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73FD7"/>
    <w:rsid w:val="00983D61"/>
    <w:rsid w:val="009854B6"/>
    <w:rsid w:val="00986ECD"/>
    <w:rsid w:val="0098789B"/>
    <w:rsid w:val="00990520"/>
    <w:rsid w:val="00995F62"/>
    <w:rsid w:val="00996F49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7081"/>
    <w:rsid w:val="009B7598"/>
    <w:rsid w:val="009C577D"/>
    <w:rsid w:val="009C5A17"/>
    <w:rsid w:val="009C70D1"/>
    <w:rsid w:val="009D406E"/>
    <w:rsid w:val="009D5989"/>
    <w:rsid w:val="009E1BD3"/>
    <w:rsid w:val="009E66D3"/>
    <w:rsid w:val="009F3AE3"/>
    <w:rsid w:val="009F5DE9"/>
    <w:rsid w:val="00A02DA6"/>
    <w:rsid w:val="00A055E7"/>
    <w:rsid w:val="00A05C2D"/>
    <w:rsid w:val="00A07AFB"/>
    <w:rsid w:val="00A10185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E246F"/>
    <w:rsid w:val="00AE2708"/>
    <w:rsid w:val="00AE7C22"/>
    <w:rsid w:val="00AF267F"/>
    <w:rsid w:val="00B01764"/>
    <w:rsid w:val="00B02107"/>
    <w:rsid w:val="00B063C4"/>
    <w:rsid w:val="00B0657B"/>
    <w:rsid w:val="00B06D49"/>
    <w:rsid w:val="00B075A8"/>
    <w:rsid w:val="00B10684"/>
    <w:rsid w:val="00B14458"/>
    <w:rsid w:val="00B14769"/>
    <w:rsid w:val="00B17524"/>
    <w:rsid w:val="00B21F09"/>
    <w:rsid w:val="00B23123"/>
    <w:rsid w:val="00B30086"/>
    <w:rsid w:val="00B34EB8"/>
    <w:rsid w:val="00B41090"/>
    <w:rsid w:val="00B4302B"/>
    <w:rsid w:val="00B46E7B"/>
    <w:rsid w:val="00B53D69"/>
    <w:rsid w:val="00B5739B"/>
    <w:rsid w:val="00B66678"/>
    <w:rsid w:val="00B71203"/>
    <w:rsid w:val="00B73A6B"/>
    <w:rsid w:val="00B8517F"/>
    <w:rsid w:val="00B9247A"/>
    <w:rsid w:val="00BA1277"/>
    <w:rsid w:val="00BA5362"/>
    <w:rsid w:val="00BC0293"/>
    <w:rsid w:val="00BC1B71"/>
    <w:rsid w:val="00BC1BFC"/>
    <w:rsid w:val="00BC3F7E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5E47"/>
    <w:rsid w:val="00C56316"/>
    <w:rsid w:val="00C5719F"/>
    <w:rsid w:val="00C60F77"/>
    <w:rsid w:val="00C6237C"/>
    <w:rsid w:val="00C66103"/>
    <w:rsid w:val="00C664CC"/>
    <w:rsid w:val="00C67318"/>
    <w:rsid w:val="00C674CB"/>
    <w:rsid w:val="00C6779A"/>
    <w:rsid w:val="00C70334"/>
    <w:rsid w:val="00C7051A"/>
    <w:rsid w:val="00C70553"/>
    <w:rsid w:val="00C7273A"/>
    <w:rsid w:val="00C76336"/>
    <w:rsid w:val="00C8630A"/>
    <w:rsid w:val="00CA1819"/>
    <w:rsid w:val="00CA65B6"/>
    <w:rsid w:val="00CD3BB4"/>
    <w:rsid w:val="00CD70A0"/>
    <w:rsid w:val="00CD7CC2"/>
    <w:rsid w:val="00CE15BE"/>
    <w:rsid w:val="00CE2960"/>
    <w:rsid w:val="00CE5BB7"/>
    <w:rsid w:val="00CF0759"/>
    <w:rsid w:val="00CF4C2A"/>
    <w:rsid w:val="00D03BCD"/>
    <w:rsid w:val="00D048E5"/>
    <w:rsid w:val="00D13895"/>
    <w:rsid w:val="00D16D0B"/>
    <w:rsid w:val="00D2467D"/>
    <w:rsid w:val="00D2640C"/>
    <w:rsid w:val="00D328CA"/>
    <w:rsid w:val="00D32AEC"/>
    <w:rsid w:val="00D35DB0"/>
    <w:rsid w:val="00D35F2C"/>
    <w:rsid w:val="00D36CA0"/>
    <w:rsid w:val="00D40ACC"/>
    <w:rsid w:val="00D41DAB"/>
    <w:rsid w:val="00D43793"/>
    <w:rsid w:val="00D456E3"/>
    <w:rsid w:val="00D470E0"/>
    <w:rsid w:val="00D476A6"/>
    <w:rsid w:val="00D523E5"/>
    <w:rsid w:val="00D56C65"/>
    <w:rsid w:val="00D7246C"/>
    <w:rsid w:val="00D83627"/>
    <w:rsid w:val="00D836F1"/>
    <w:rsid w:val="00D86C1A"/>
    <w:rsid w:val="00D94FF0"/>
    <w:rsid w:val="00D97A5E"/>
    <w:rsid w:val="00DA1FB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1BBC"/>
    <w:rsid w:val="00E3326E"/>
    <w:rsid w:val="00E33B70"/>
    <w:rsid w:val="00E36A2B"/>
    <w:rsid w:val="00E43902"/>
    <w:rsid w:val="00E51C09"/>
    <w:rsid w:val="00E5448F"/>
    <w:rsid w:val="00E67A74"/>
    <w:rsid w:val="00E67EDD"/>
    <w:rsid w:val="00E71233"/>
    <w:rsid w:val="00E87CD2"/>
    <w:rsid w:val="00E93262"/>
    <w:rsid w:val="00E96923"/>
    <w:rsid w:val="00EA281C"/>
    <w:rsid w:val="00EA35B5"/>
    <w:rsid w:val="00EA6C76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E75AB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25C"/>
    <w:rsid w:val="00F47577"/>
    <w:rsid w:val="00F53F66"/>
    <w:rsid w:val="00F556C9"/>
    <w:rsid w:val="00F559A2"/>
    <w:rsid w:val="00F56226"/>
    <w:rsid w:val="00F57530"/>
    <w:rsid w:val="00F6161B"/>
    <w:rsid w:val="00F673E7"/>
    <w:rsid w:val="00F708CE"/>
    <w:rsid w:val="00F743DF"/>
    <w:rsid w:val="00F74E56"/>
    <w:rsid w:val="00F8517D"/>
    <w:rsid w:val="00F85743"/>
    <w:rsid w:val="00F85877"/>
    <w:rsid w:val="00F86B21"/>
    <w:rsid w:val="00F91269"/>
    <w:rsid w:val="00F91482"/>
    <w:rsid w:val="00F96FF8"/>
    <w:rsid w:val="00F97095"/>
    <w:rsid w:val="00FA398F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a70021"/>
    </o:shapedefaults>
    <o:shapelayout v:ext="edit">
      <o:idmap v:ext="edit" data="2"/>
    </o:shapelayout>
  </w:shapeDefaults>
  <w:decimalSymbol w:val="."/>
  <w:listSeparator w:val=","/>
  <w14:docId w14:val="020E870B"/>
  <w15:chartTrackingRefBased/>
  <w15:docId w15:val="{272BA35B-E514-4B90-9F2D-424513D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0A16-2E70-44F4-8F4A-A410A007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9A32F-C3C0-4D0D-9034-25A6B4E7B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1240B-1296-4F22-A093-762D32988A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9CF414-660F-4B59-B1BC-7852D33E7EE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41fd061-570a-41ab-ad06-26c722ac4344"/>
    <ds:schemaRef ds:uri="http://schemas.microsoft.com/office/2006/documentManagement/types"/>
    <ds:schemaRef ds:uri="28eaf66e-27d3-43e8-b14c-201d909744d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F34549-73B5-4D5E-AEFB-C7FA53CA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2018-05-16T13:46:00Z</cp:lastPrinted>
  <dcterms:created xsi:type="dcterms:W3CDTF">2025-04-30T08:32:00Z</dcterms:created>
  <dcterms:modified xsi:type="dcterms:W3CDTF">2025-04-30T08:32:00Z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  <property fmtid="{D5CDD505-2E9C-101B-9397-08002B2CF9AE}" pid="5" name="MediaServiceImageTags">
    <vt:lpwstr/>
  </property>
  <property fmtid="{D5CDD505-2E9C-101B-9397-08002B2CF9AE}" pid="6" name="ContentTypeId">
    <vt:lpwstr>0x010100740E84411F1A154FBFB2A667E2E15552</vt:lpwstr>
  </property>
</Properties>
</file>