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15CACFC2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55EC641F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proofErr w:type="spellStart"/>
            <w:r w:rsidRPr="002D0053">
              <w:rPr>
                <w:color w:val="000000"/>
                <w:sz w:val="28"/>
                <w:szCs w:val="27"/>
              </w:rPr>
              <w:t>Prifysgol</w:t>
            </w:r>
            <w:proofErr w:type="spellEnd"/>
            <w:r w:rsidRPr="002D0053">
              <w:rPr>
                <w:color w:val="000000"/>
                <w:sz w:val="28"/>
                <w:szCs w:val="27"/>
              </w:rPr>
              <w:t xml:space="preserve">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68C9CF5A" w14:textId="77777777" w:rsidR="002D0053" w:rsidRPr="00D2640C" w:rsidRDefault="00D2640C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000000"/>
                <w:sz w:val="40"/>
                <w:szCs w:val="27"/>
              </w:rPr>
              <w:t>RISK ASSESSMENT FORM</w:t>
            </w:r>
          </w:p>
        </w:tc>
        <w:tc>
          <w:tcPr>
            <w:tcW w:w="1590" w:type="dxa"/>
            <w:shd w:val="clear" w:color="auto" w:fill="auto"/>
          </w:tcPr>
          <w:p w14:paraId="2124A496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45FBB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209100F9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73BF3692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5DF0C79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08EE6AC2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23E10" w14:textId="77777777" w:rsidR="002D0053" w:rsidRPr="002D0053" w:rsidRDefault="00B76F8B" w:rsidP="00B76F8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 xml:space="preserve">SOCIAL RESEARCH IN </w:t>
            </w:r>
            <w:r w:rsidR="008763F7">
              <w:rPr>
                <w:rFonts w:cs="Calibri"/>
                <w:caps/>
                <w:sz w:val="24"/>
                <w:szCs w:val="24"/>
              </w:rPr>
              <w:t xml:space="preserve">RESIDENTIAL </w:t>
            </w:r>
            <w:r>
              <w:rPr>
                <w:rFonts w:cs="Calibri"/>
                <w:caps/>
                <w:sz w:val="24"/>
                <w:szCs w:val="24"/>
              </w:rPr>
              <w:t>CARE CENTRE</w:t>
            </w:r>
            <w:r w:rsidR="002912AD">
              <w:rPr>
                <w:rFonts w:cs="Calibri"/>
                <w:caps/>
                <w:sz w:val="24"/>
                <w:szCs w:val="24"/>
              </w:rPr>
              <w:t>(</w:t>
            </w:r>
            <w:r>
              <w:rPr>
                <w:rFonts w:cs="Calibri"/>
                <w:caps/>
                <w:sz w:val="24"/>
                <w:szCs w:val="24"/>
              </w:rPr>
              <w:t>S</w:t>
            </w:r>
            <w:r w:rsidR="002912AD">
              <w:rPr>
                <w:rFonts w:cs="Calibri"/>
                <w:caps/>
                <w:sz w:val="24"/>
                <w:szCs w:val="24"/>
              </w:rPr>
              <w:t>)</w:t>
            </w:r>
            <w:r>
              <w:rPr>
                <w:rFonts w:cs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4893BE62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6FB95E2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1E899" w14:textId="2212122F" w:rsidR="002D0053" w:rsidRPr="00082AB4" w:rsidRDefault="00964E99" w:rsidP="002D0053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30352C32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02ED4240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33AAF" w14:textId="66ED6485" w:rsidR="002D0053" w:rsidRPr="00082AB4" w:rsidRDefault="00964E99" w:rsidP="002D0053">
            <w:pPr>
              <w:spacing w:after="0" w:line="240" w:lineRule="auto"/>
            </w:pPr>
            <w:r>
              <w:t>2</w:t>
            </w:r>
          </w:p>
        </w:tc>
      </w:tr>
    </w:tbl>
    <w:p w14:paraId="099D7E92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7A0D6081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18A129EC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E3C414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2E4FEA2D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79D1F036" w14:textId="77777777" w:rsidR="00C655D3" w:rsidRDefault="00C655D3" w:rsidP="002D0053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Qualitative study to gather data on eating habits of </w:t>
            </w:r>
            <w:r w:rsidR="00E323BF">
              <w:rPr>
                <w:rFonts w:cs="Calibri"/>
              </w:rPr>
              <w:t xml:space="preserve">older adult </w:t>
            </w:r>
            <w:r>
              <w:rPr>
                <w:rFonts w:cs="Calibri"/>
              </w:rPr>
              <w:t>residents</w:t>
            </w:r>
            <w:r w:rsidR="00E323B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in sheltered accommodation and residential care </w:t>
            </w:r>
            <w:proofErr w:type="spellStart"/>
            <w:r>
              <w:rPr>
                <w:rFonts w:cs="Calibri"/>
              </w:rPr>
              <w:t>centres</w:t>
            </w:r>
            <w:proofErr w:type="spellEnd"/>
            <w:r>
              <w:rPr>
                <w:rFonts w:cs="Calibri"/>
              </w:rPr>
              <w:t>.  Data will be assessed against national recommendations and any indicative trends identified, including obstacles to meeting the national guidance.</w:t>
            </w:r>
            <w:r w:rsidR="00E323BF">
              <w:rPr>
                <w:rFonts w:cs="Calibri"/>
              </w:rPr>
              <w:t xml:space="preserve">  </w:t>
            </w:r>
          </w:p>
          <w:p w14:paraId="05F951A4" w14:textId="77777777" w:rsidR="002D0053" w:rsidRDefault="00C655D3" w:rsidP="00E323BF">
            <w:pPr>
              <w:spacing w:before="120" w:after="1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Residents will be invited to participate via their </w:t>
            </w:r>
            <w:r w:rsidR="008763F7">
              <w:rPr>
                <w:rFonts w:cs="Calibri"/>
              </w:rPr>
              <w:t xml:space="preserve">Care </w:t>
            </w:r>
            <w:r>
              <w:rPr>
                <w:rFonts w:cs="Calibri"/>
              </w:rPr>
              <w:t>Centre Manager</w:t>
            </w:r>
            <w:r w:rsidR="00E323BF">
              <w:rPr>
                <w:rFonts w:cs="Calibri"/>
              </w:rPr>
              <w:t xml:space="preserve"> and be able to give Informed Consent themselves.  I</w:t>
            </w:r>
            <w:r>
              <w:rPr>
                <w:rFonts w:cs="Calibri"/>
              </w:rPr>
              <w:t xml:space="preserve">nterviews and observations </w:t>
            </w:r>
            <w:r w:rsidR="00E323BF">
              <w:rPr>
                <w:rFonts w:cs="Calibri"/>
              </w:rPr>
              <w:t xml:space="preserve">will be </w:t>
            </w:r>
            <w:r>
              <w:rPr>
                <w:rFonts w:cs="Calibri"/>
              </w:rPr>
              <w:t>undertaken in public areas, in sight of staff and others</w:t>
            </w:r>
            <w:r w:rsidR="002D0053" w:rsidRPr="002D0053">
              <w:rPr>
                <w:rFonts w:cs="Calibri"/>
                <w:color w:val="000000"/>
              </w:rPr>
              <w:t>.</w:t>
            </w:r>
          </w:p>
          <w:p w14:paraId="48BDA42B" w14:textId="77777777" w:rsidR="00E323BF" w:rsidRPr="00C655D3" w:rsidRDefault="00E323BF" w:rsidP="00E323BF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Further guidance is available on the </w:t>
            </w:r>
            <w:hyperlink r:id="rId13" w:history="1">
              <w:r w:rsidRPr="00E323BF">
                <w:rPr>
                  <w:rStyle w:val="Hyperlink"/>
                  <w:rFonts w:cs="Calibri"/>
                </w:rPr>
                <w:t>HSS Website – Fieldwork</w:t>
              </w:r>
            </w:hyperlink>
            <w:r>
              <w:rPr>
                <w:rFonts w:cs="Calibri"/>
                <w:color w:val="000000"/>
              </w:rPr>
              <w:t>.</w:t>
            </w:r>
          </w:p>
        </w:tc>
      </w:tr>
    </w:tbl>
    <w:p w14:paraId="4AD7910C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4AE444E3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323395E7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0AC76344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000A85C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2EBBDCDF" w14:textId="77777777" w:rsidR="002D0053" w:rsidRPr="002D0053" w:rsidRDefault="008763F7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Licensed Care </w:t>
            </w:r>
            <w:proofErr w:type="spellStart"/>
            <w:r w:rsidR="00B76F8B">
              <w:rPr>
                <w:rFonts w:cs="Calibri"/>
                <w:color w:val="000000"/>
              </w:rPr>
              <w:t>Centres</w:t>
            </w:r>
            <w:proofErr w:type="spellEnd"/>
            <w:r w:rsidR="00B76F8B">
              <w:rPr>
                <w:rFonts w:cs="Calibri"/>
                <w:color w:val="000000"/>
              </w:rPr>
              <w:t xml:space="preserve"> located in Bangor, </w:t>
            </w:r>
            <w:proofErr w:type="spellStart"/>
            <w:r w:rsidR="00B76F8B">
              <w:rPr>
                <w:rFonts w:cs="Calibri"/>
                <w:color w:val="000000"/>
              </w:rPr>
              <w:t>Caernarfon</w:t>
            </w:r>
            <w:proofErr w:type="spellEnd"/>
            <w:r w:rsidR="00B76F8B">
              <w:rPr>
                <w:rFonts w:cs="Calibri"/>
                <w:color w:val="000000"/>
              </w:rPr>
              <w:t xml:space="preserve">, Llanfairpwll, </w:t>
            </w:r>
            <w:proofErr w:type="spellStart"/>
            <w:r w:rsidR="00B76F8B">
              <w:rPr>
                <w:rFonts w:cs="Calibri"/>
                <w:color w:val="000000"/>
              </w:rPr>
              <w:t>Llanfairfechan</w:t>
            </w:r>
            <w:proofErr w:type="spellEnd"/>
            <w:r w:rsidR="00B76F8B">
              <w:rPr>
                <w:rFonts w:cs="Calibri"/>
                <w:color w:val="000000"/>
              </w:rPr>
              <w:t>, Conwy</w:t>
            </w:r>
          </w:p>
        </w:tc>
        <w:tc>
          <w:tcPr>
            <w:tcW w:w="2268" w:type="dxa"/>
            <w:shd w:val="clear" w:color="auto" w:fill="F2F2F2"/>
          </w:tcPr>
          <w:p w14:paraId="781510DB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5B3491BA" w14:textId="77777777" w:rsidR="002D0053" w:rsidRPr="002D0053" w:rsidRDefault="00E323BF" w:rsidP="00E323BF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M-Level and PhD</w:t>
            </w:r>
            <w:r w:rsidR="00C655D3">
              <w:rPr>
                <w:rFonts w:cs="Calibri"/>
                <w:color w:val="000000"/>
              </w:rPr>
              <w:t xml:space="preserve"> Psychology St</w:t>
            </w:r>
            <w:r w:rsidR="002D0053" w:rsidRPr="002D0053">
              <w:rPr>
                <w:rFonts w:cs="Calibri"/>
                <w:color w:val="000000"/>
              </w:rPr>
              <w:t xml:space="preserve">udents </w:t>
            </w:r>
            <w:r w:rsidR="00902948">
              <w:rPr>
                <w:rFonts w:cs="Calibri"/>
                <w:color w:val="000000"/>
              </w:rPr>
              <w:t xml:space="preserve">(Researcher) </w:t>
            </w:r>
            <w:r w:rsidR="00B76F8B">
              <w:rPr>
                <w:rFonts w:cs="Calibri"/>
                <w:color w:val="000000"/>
              </w:rPr>
              <w:t xml:space="preserve">and </w:t>
            </w:r>
            <w:r w:rsidR="00C655D3">
              <w:rPr>
                <w:rFonts w:cs="Calibri"/>
                <w:color w:val="000000"/>
              </w:rPr>
              <w:t>R</w:t>
            </w:r>
            <w:r w:rsidR="00B76F8B">
              <w:rPr>
                <w:rFonts w:cs="Calibri"/>
                <w:color w:val="000000"/>
              </w:rPr>
              <w:t xml:space="preserve">esearch </w:t>
            </w:r>
            <w:r w:rsidR="00C655D3">
              <w:rPr>
                <w:rFonts w:cs="Calibri"/>
                <w:color w:val="000000"/>
              </w:rPr>
              <w:t>P</w:t>
            </w:r>
            <w:r w:rsidR="00B76F8B">
              <w:rPr>
                <w:rFonts w:cs="Calibri"/>
                <w:color w:val="000000"/>
              </w:rPr>
              <w:t>articipants</w:t>
            </w:r>
          </w:p>
        </w:tc>
      </w:tr>
      <w:tr w:rsidR="002D0053" w14:paraId="2AC1E625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1E37E14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60C91AE8" w14:textId="77777777" w:rsidR="002D0053" w:rsidRPr="002D0053" w:rsidRDefault="00B76F8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College of Human Sciences</w:t>
            </w:r>
          </w:p>
        </w:tc>
        <w:tc>
          <w:tcPr>
            <w:tcW w:w="2268" w:type="dxa"/>
            <w:shd w:val="clear" w:color="auto" w:fill="F2F2F2"/>
          </w:tcPr>
          <w:p w14:paraId="1E1A1B23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6A8FD3EC" w14:textId="77777777" w:rsidR="002D0053" w:rsidRPr="002D0053" w:rsidRDefault="00B76F8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School of Psychology</w:t>
            </w:r>
          </w:p>
        </w:tc>
      </w:tr>
      <w:tr w:rsidR="002D0053" w14:paraId="5A1D104C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6BA6D203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79D39C3F" w14:textId="77777777" w:rsidR="002D0053" w:rsidRPr="002D0053" w:rsidRDefault="00B76F8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Academic Supervisor</w:t>
            </w:r>
            <w:r w:rsidR="009B4F6A">
              <w:rPr>
                <w:rFonts w:cs="Calibri"/>
                <w:color w:val="000000"/>
              </w:rPr>
              <w:t xml:space="preserve"> (Ac. Sup.)</w:t>
            </w:r>
          </w:p>
        </w:tc>
        <w:tc>
          <w:tcPr>
            <w:tcW w:w="2268" w:type="dxa"/>
            <w:shd w:val="clear" w:color="auto" w:fill="F2F2F2"/>
          </w:tcPr>
          <w:p w14:paraId="461E111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A82E1CC" w14:textId="77777777" w:rsidR="002D0053" w:rsidRPr="002D0053" w:rsidRDefault="00B76F8B" w:rsidP="00B76F8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01248 38 9999</w:t>
            </w:r>
          </w:p>
        </w:tc>
      </w:tr>
    </w:tbl>
    <w:p w14:paraId="28070E80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31C404A4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0F0639C4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7F2CDA3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7B9AF" w14:textId="77777777" w:rsidR="002D0053" w:rsidRDefault="00B76F8B" w:rsidP="002D0053">
            <w:pPr>
              <w:spacing w:after="0"/>
              <w:ind w:right="-384"/>
            </w:pPr>
            <w:r>
              <w:t>Academic Supervisor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312B55C0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6858528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24AA4" w14:textId="77777777" w:rsidR="002D0053" w:rsidRDefault="002D0053" w:rsidP="00B76F8B">
            <w:pPr>
              <w:spacing w:after="0"/>
            </w:pPr>
            <w:r w:rsidRPr="002D0053">
              <w:rPr>
                <w:rFonts w:cs="Calibri"/>
                <w:color w:val="000000"/>
              </w:rPr>
              <w:t xml:space="preserve">Review before further similar </w:t>
            </w:r>
            <w:r w:rsidR="00B76F8B">
              <w:rPr>
                <w:rFonts w:cs="Calibri"/>
                <w:color w:val="000000"/>
              </w:rPr>
              <w:t>research studies</w:t>
            </w:r>
          </w:p>
        </w:tc>
      </w:tr>
    </w:tbl>
    <w:p w14:paraId="7CE2D2EA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24C25C7C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64F5F13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3F8557EA" w14:textId="77777777" w:rsidR="00C23B0C" w:rsidRPr="00305622" w:rsidRDefault="00C23B0C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798A7FB3" w14:textId="77777777" w:rsidR="00C23B0C" w:rsidRPr="004C0380" w:rsidRDefault="00C23B0C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4F62D617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1DBC106A" w14:textId="77777777" w:rsidR="005E2E3E" w:rsidRDefault="005E2E3E" w:rsidP="00071CC1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4967DF17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52CE871A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5821CD0E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23C47F69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44589325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1511CE88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672CF3F2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42978220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31971B68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0E64A8D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DC6CADC" w14:textId="77777777" w:rsidR="008D628C" w:rsidRPr="001960D0" w:rsidRDefault="008D628C" w:rsidP="008763F7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b/>
                <w:szCs w:val="24"/>
              </w:rPr>
              <w:t>Venue / Location</w:t>
            </w:r>
            <w:r w:rsidRPr="001960D0">
              <w:rPr>
                <w:rFonts w:cs="Calibri"/>
                <w:szCs w:val="24"/>
              </w:rPr>
              <w:t xml:space="preserve"> – injuries, ill health if venue is unsuitable</w:t>
            </w:r>
            <w:r w:rsidR="008763F7">
              <w:rPr>
                <w:rFonts w:cs="Calibri"/>
                <w:szCs w:val="24"/>
              </w:rPr>
              <w:t xml:space="preserve"> for type of research and participants</w:t>
            </w:r>
            <w:r w:rsidRPr="001960D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1E60FFEA" w14:textId="77777777" w:rsidR="008D628C" w:rsidRPr="001960D0" w:rsidRDefault="00902948" w:rsidP="008763F7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Researcher and </w:t>
            </w:r>
            <w:r w:rsidR="008763F7">
              <w:rPr>
                <w:rFonts w:cs="Calibri"/>
                <w:szCs w:val="24"/>
              </w:rPr>
              <w:t>P</w:t>
            </w:r>
            <w:r w:rsidR="00C655D3">
              <w:rPr>
                <w:rFonts w:cs="Calibri"/>
                <w:szCs w:val="24"/>
              </w:rPr>
              <w:t>articipant</w:t>
            </w:r>
          </w:p>
        </w:tc>
        <w:tc>
          <w:tcPr>
            <w:tcW w:w="4535" w:type="dxa"/>
            <w:shd w:val="clear" w:color="auto" w:fill="auto"/>
          </w:tcPr>
          <w:p w14:paraId="0A466B02" w14:textId="77777777" w:rsidR="002912AD" w:rsidRDefault="00C655D3" w:rsidP="002912A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Only established</w:t>
            </w:r>
            <w:r w:rsidR="004F5E4D">
              <w:rPr>
                <w:rFonts w:cs="Calibri"/>
                <w:szCs w:val="24"/>
              </w:rPr>
              <w:t xml:space="preserve">, licensed facilities </w:t>
            </w:r>
            <w:proofErr w:type="gramStart"/>
            <w:r w:rsidR="004F5E4D">
              <w:rPr>
                <w:rFonts w:cs="Calibri"/>
                <w:szCs w:val="24"/>
              </w:rPr>
              <w:t>visited</w:t>
            </w:r>
            <w:proofErr w:type="gramEnd"/>
          </w:p>
          <w:p w14:paraId="4A83EBA4" w14:textId="77777777" w:rsidR="008D628C" w:rsidRPr="00F47577" w:rsidRDefault="002912AD" w:rsidP="008763F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</w:t>
            </w:r>
            <w:r w:rsidR="00C655D3">
              <w:rPr>
                <w:rFonts w:cs="Calibri"/>
                <w:szCs w:val="24"/>
              </w:rPr>
              <w:t xml:space="preserve">articipants </w:t>
            </w:r>
            <w:r w:rsidR="008763F7">
              <w:rPr>
                <w:rFonts w:cs="Calibri"/>
                <w:szCs w:val="24"/>
              </w:rPr>
              <w:t xml:space="preserve">will be </w:t>
            </w:r>
            <w:r w:rsidR="00C655D3">
              <w:rPr>
                <w:rFonts w:cs="Calibri"/>
                <w:szCs w:val="24"/>
              </w:rPr>
              <w:t xml:space="preserve">permanent residents of </w:t>
            </w:r>
            <w:r>
              <w:rPr>
                <w:rFonts w:cs="Calibri"/>
                <w:szCs w:val="24"/>
              </w:rPr>
              <w:t>the Centre</w:t>
            </w:r>
            <w:r w:rsidR="008763F7">
              <w:rPr>
                <w:rFonts w:cs="Calibri"/>
                <w:szCs w:val="24"/>
              </w:rPr>
              <w:t>, will be</w:t>
            </w:r>
            <w:r>
              <w:rPr>
                <w:rFonts w:cs="Calibri"/>
                <w:szCs w:val="24"/>
              </w:rPr>
              <w:t xml:space="preserve"> physically / mentally able </w:t>
            </w:r>
            <w:r w:rsidR="008763F7">
              <w:rPr>
                <w:rFonts w:cs="Calibri"/>
                <w:szCs w:val="24"/>
              </w:rPr>
              <w:t>and</w:t>
            </w:r>
            <w:r>
              <w:rPr>
                <w:rFonts w:cs="Calibri"/>
                <w:szCs w:val="24"/>
              </w:rPr>
              <w:t xml:space="preserve"> deemed ‘low risk’</w:t>
            </w:r>
          </w:p>
        </w:tc>
        <w:tc>
          <w:tcPr>
            <w:tcW w:w="4365" w:type="dxa"/>
            <w:shd w:val="clear" w:color="auto" w:fill="FCE0E0"/>
          </w:tcPr>
          <w:p w14:paraId="41F3CA18" w14:textId="77777777" w:rsidR="008D628C" w:rsidRPr="001960D0" w:rsidRDefault="008D628C" w:rsidP="00C655D3">
            <w:pPr>
              <w:spacing w:before="60" w:after="60" w:line="240" w:lineRule="auto"/>
              <w:rPr>
                <w:rFonts w:cs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9CDA8D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5C793946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09660D" w:rsidRPr="001960D0" w14:paraId="77727DD2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D032A9E" w14:textId="77777777" w:rsidR="0009660D" w:rsidRPr="001960D0" w:rsidRDefault="0009660D" w:rsidP="000966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D86ADF7" w14:textId="77777777" w:rsidR="0009660D" w:rsidRPr="001960D0" w:rsidRDefault="0009660D" w:rsidP="0098079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Travelling</w:t>
            </w:r>
            <w:r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t>road accident, lack of driving experience, getting lost, car breakdown, parking difficulties, changeable weather making driving conditions difficult</w:t>
            </w:r>
          </w:p>
        </w:tc>
        <w:tc>
          <w:tcPr>
            <w:tcW w:w="1259" w:type="dxa"/>
            <w:shd w:val="clear" w:color="auto" w:fill="auto"/>
          </w:tcPr>
          <w:p w14:paraId="42CCA9E8" w14:textId="77777777" w:rsidR="0009660D" w:rsidRPr="001960D0" w:rsidRDefault="00902948" w:rsidP="0009660D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Researcher</w:t>
            </w:r>
          </w:p>
        </w:tc>
        <w:tc>
          <w:tcPr>
            <w:tcW w:w="4535" w:type="dxa"/>
            <w:shd w:val="clear" w:color="auto" w:fill="auto"/>
          </w:tcPr>
          <w:p w14:paraId="409F0691" w14:textId="77777777" w:rsidR="00BD0BC7" w:rsidRPr="00BD0BC7" w:rsidRDefault="00BD0BC7" w:rsidP="00BD0BC7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BD0BC7">
              <w:rPr>
                <w:rFonts w:cs="Calibri"/>
                <w:b/>
                <w:i/>
                <w:szCs w:val="24"/>
              </w:rPr>
              <w:t xml:space="preserve">See Welfare </w:t>
            </w:r>
            <w:proofErr w:type="gramStart"/>
            <w:r w:rsidRPr="00BD0BC7">
              <w:rPr>
                <w:rFonts w:cs="Calibri"/>
                <w:b/>
                <w:i/>
                <w:szCs w:val="24"/>
              </w:rPr>
              <w:t>below</w:t>
            </w:r>
            <w:proofErr w:type="gramEnd"/>
          </w:p>
          <w:p w14:paraId="2FCBC7FC" w14:textId="77777777" w:rsidR="0009660D" w:rsidRPr="00060A7D" w:rsidRDefault="00902948" w:rsidP="0009660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Researchers</w:t>
            </w:r>
            <w:r w:rsidR="004F5E4D">
              <w:rPr>
                <w:rFonts w:cs="Calibri"/>
                <w:szCs w:val="24"/>
              </w:rPr>
              <w:t xml:space="preserve"> will travel in own vehicle or by public </w:t>
            </w:r>
            <w:proofErr w:type="gramStart"/>
            <w:r w:rsidR="004F5E4D">
              <w:rPr>
                <w:rFonts w:cs="Calibri"/>
                <w:szCs w:val="24"/>
              </w:rPr>
              <w:t>transport</w:t>
            </w:r>
            <w:proofErr w:type="gramEnd"/>
            <w:r w:rsidR="0009660D">
              <w:rPr>
                <w:rFonts w:cs="Calibri"/>
                <w:szCs w:val="24"/>
              </w:rPr>
              <w:t xml:space="preserve"> </w:t>
            </w:r>
          </w:p>
          <w:p w14:paraId="37C3EA2F" w14:textId="77777777" w:rsidR="00060A7D" w:rsidRPr="004F5E4D" w:rsidRDefault="00060A7D" w:rsidP="0009660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Interviews arranged for </w:t>
            </w:r>
            <w:r w:rsidR="008763F7">
              <w:rPr>
                <w:rFonts w:cs="Calibri"/>
                <w:szCs w:val="24"/>
              </w:rPr>
              <w:t>office hours (</w:t>
            </w:r>
            <w:proofErr w:type="spellStart"/>
            <w:r w:rsidR="008763F7">
              <w:rPr>
                <w:rFonts w:cs="Calibri"/>
                <w:szCs w:val="24"/>
              </w:rPr>
              <w:t>ie</w:t>
            </w:r>
            <w:proofErr w:type="spellEnd"/>
            <w:r w:rsidR="008763F7">
              <w:rPr>
                <w:rFonts w:cs="Calibri"/>
                <w:szCs w:val="24"/>
              </w:rPr>
              <w:t xml:space="preserve"> Monday – Friday, 9am – 5pm) </w:t>
            </w:r>
            <w:proofErr w:type="gramStart"/>
            <w:r>
              <w:rPr>
                <w:rFonts w:cs="Calibri"/>
                <w:szCs w:val="24"/>
              </w:rPr>
              <w:t>only</w:t>
            </w:r>
            <w:proofErr w:type="gramEnd"/>
          </w:p>
          <w:p w14:paraId="71FBEC88" w14:textId="77777777" w:rsidR="004F5E4D" w:rsidRDefault="004F5E4D" w:rsidP="004F5E4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Academic Supervisor will choose </w:t>
            </w:r>
            <w:r w:rsidR="00BD0BC7">
              <w:rPr>
                <w:rFonts w:cs="Arial"/>
                <w:szCs w:val="24"/>
              </w:rPr>
              <w:t>venues</w:t>
            </w:r>
            <w:r>
              <w:rPr>
                <w:rFonts w:cs="Arial"/>
                <w:szCs w:val="24"/>
              </w:rPr>
              <w:t xml:space="preserve"> that are in easily accessible locations </w:t>
            </w:r>
            <w:proofErr w:type="spellStart"/>
            <w:r>
              <w:rPr>
                <w:rFonts w:cs="Arial"/>
                <w:szCs w:val="24"/>
              </w:rPr>
              <w:t>ie</w:t>
            </w:r>
            <w:proofErr w:type="spellEnd"/>
            <w:r>
              <w:rPr>
                <w:rFonts w:cs="Arial"/>
                <w:szCs w:val="24"/>
              </w:rPr>
              <w:t xml:space="preserve"> close to main roads, transport </w:t>
            </w:r>
            <w:proofErr w:type="gramStart"/>
            <w:r>
              <w:rPr>
                <w:rFonts w:cs="Arial"/>
                <w:szCs w:val="24"/>
              </w:rPr>
              <w:t>links</w:t>
            </w:r>
            <w:proofErr w:type="gramEnd"/>
          </w:p>
          <w:p w14:paraId="68AE06FA" w14:textId="77777777" w:rsidR="004F5E4D" w:rsidRPr="009F5DE9" w:rsidRDefault="00902948" w:rsidP="0090294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Researchers</w:t>
            </w:r>
            <w:r w:rsidR="004F5E4D">
              <w:rPr>
                <w:rFonts w:cs="Arial"/>
                <w:szCs w:val="24"/>
              </w:rPr>
              <w:t xml:space="preserve"> should </w:t>
            </w:r>
            <w:r>
              <w:rPr>
                <w:rFonts w:cs="Arial"/>
                <w:szCs w:val="24"/>
              </w:rPr>
              <w:t>plan</w:t>
            </w:r>
            <w:r w:rsidR="004F5E4D">
              <w:rPr>
                <w:rFonts w:cs="Arial"/>
                <w:szCs w:val="24"/>
              </w:rPr>
              <w:t xml:space="preserve"> travel as part of </w:t>
            </w:r>
            <w:r w:rsidR="00980799">
              <w:rPr>
                <w:rFonts w:cs="Arial"/>
                <w:szCs w:val="24"/>
              </w:rPr>
              <w:t xml:space="preserve">their </w:t>
            </w:r>
            <w:r w:rsidR="004F5E4D">
              <w:rPr>
                <w:rFonts w:cs="Arial"/>
                <w:szCs w:val="24"/>
              </w:rPr>
              <w:t>preparations</w:t>
            </w:r>
            <w:r w:rsidR="00D36BC6">
              <w:rPr>
                <w:rFonts w:cs="Arial"/>
                <w:szCs w:val="24"/>
              </w:rPr>
              <w:t xml:space="preserve"> </w:t>
            </w:r>
            <w:proofErr w:type="spellStart"/>
            <w:r w:rsidR="00D36BC6">
              <w:rPr>
                <w:rFonts w:cs="Arial"/>
                <w:szCs w:val="24"/>
              </w:rPr>
              <w:t>ie</w:t>
            </w:r>
            <w:proofErr w:type="spellEnd"/>
            <w:r w:rsidR="00D36BC6">
              <w:rPr>
                <w:rFonts w:cs="Arial"/>
                <w:szCs w:val="24"/>
              </w:rPr>
              <w:t xml:space="preserve"> route, parking</w:t>
            </w:r>
          </w:p>
        </w:tc>
        <w:tc>
          <w:tcPr>
            <w:tcW w:w="4365" w:type="dxa"/>
            <w:shd w:val="clear" w:color="auto" w:fill="FCE0E0"/>
          </w:tcPr>
          <w:p w14:paraId="774EA279" w14:textId="77777777" w:rsidR="00D36BC6" w:rsidRPr="00E323BF" w:rsidRDefault="00E323BF" w:rsidP="00E323BF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Confirm researchers driving own vehicles </w:t>
            </w:r>
            <w:r w:rsidR="0009660D" w:rsidRPr="00E323BF">
              <w:rPr>
                <w:rFonts w:cs="Calibri"/>
                <w:szCs w:val="24"/>
              </w:rPr>
              <w:t xml:space="preserve">have Business Use Car Insurance </w:t>
            </w:r>
            <w:r>
              <w:rPr>
                <w:rFonts w:cs="Calibri"/>
                <w:szCs w:val="24"/>
              </w:rPr>
              <w:t xml:space="preserve">and are road legal 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r w:rsidRPr="00E323BF">
              <w:rPr>
                <w:rFonts w:cs="Arial"/>
                <w:szCs w:val="24"/>
              </w:rPr>
              <w:t xml:space="preserve">hold a </w:t>
            </w:r>
            <w:r>
              <w:rPr>
                <w:rFonts w:cs="Arial"/>
                <w:szCs w:val="24"/>
              </w:rPr>
              <w:t xml:space="preserve">UK (UK recognized) </w:t>
            </w:r>
            <w:r w:rsidRPr="00E323BF">
              <w:rPr>
                <w:rFonts w:cs="Arial"/>
                <w:szCs w:val="24"/>
              </w:rPr>
              <w:t xml:space="preserve">driving </w:t>
            </w:r>
            <w:proofErr w:type="spellStart"/>
            <w:r w:rsidRPr="00E323BF">
              <w:rPr>
                <w:rFonts w:cs="Arial"/>
                <w:szCs w:val="24"/>
              </w:rPr>
              <w:t>licence</w:t>
            </w:r>
            <w:proofErr w:type="spellEnd"/>
            <w:r>
              <w:rPr>
                <w:rFonts w:cs="Arial"/>
                <w:szCs w:val="24"/>
              </w:rPr>
              <w:t>, vehicle MOT and Road Tax</w:t>
            </w:r>
          </w:p>
        </w:tc>
        <w:tc>
          <w:tcPr>
            <w:tcW w:w="1134" w:type="dxa"/>
            <w:shd w:val="clear" w:color="auto" w:fill="auto"/>
          </w:tcPr>
          <w:p w14:paraId="1EBBED40" w14:textId="77777777" w:rsidR="0009660D" w:rsidRPr="001960D0" w:rsidRDefault="00E323BF" w:rsidP="0009660D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Ac. Sup.</w:t>
            </w:r>
          </w:p>
        </w:tc>
        <w:tc>
          <w:tcPr>
            <w:tcW w:w="1136" w:type="dxa"/>
            <w:shd w:val="clear" w:color="auto" w:fill="auto"/>
          </w:tcPr>
          <w:p w14:paraId="2A897C4E" w14:textId="77777777" w:rsidR="0009660D" w:rsidRPr="001960D0" w:rsidRDefault="0009660D" w:rsidP="0009660D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71F153F8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E51D80C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4DA40D1" w14:textId="77777777" w:rsidR="008D628C" w:rsidRPr="001960D0" w:rsidRDefault="008D628C" w:rsidP="004F5E4D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Welfare</w:t>
            </w:r>
            <w:r w:rsidRPr="001960D0">
              <w:rPr>
                <w:rFonts w:cs="Arial"/>
                <w:szCs w:val="24"/>
              </w:rPr>
              <w:t xml:space="preserve"> – injuries, ill health if unprepared for trip, </w:t>
            </w:r>
            <w:r w:rsidR="004F5E4D">
              <w:rPr>
                <w:rFonts w:cs="Arial"/>
                <w:szCs w:val="24"/>
              </w:rPr>
              <w:t>potential for physical / verbal assault as dealing with ‘unknown’ personalities</w:t>
            </w:r>
            <w:r w:rsidR="00060A7D">
              <w:rPr>
                <w:rFonts w:cs="Arial"/>
                <w:szCs w:val="24"/>
              </w:rPr>
              <w:t xml:space="preserve"> and or due to inexperience of researcher</w:t>
            </w:r>
          </w:p>
        </w:tc>
        <w:tc>
          <w:tcPr>
            <w:tcW w:w="1259" w:type="dxa"/>
            <w:shd w:val="clear" w:color="auto" w:fill="auto"/>
          </w:tcPr>
          <w:p w14:paraId="63F56086" w14:textId="77777777" w:rsidR="008D628C" w:rsidRPr="001960D0" w:rsidRDefault="002912AD" w:rsidP="004F5E4D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Researcher</w:t>
            </w:r>
          </w:p>
        </w:tc>
        <w:tc>
          <w:tcPr>
            <w:tcW w:w="4535" w:type="dxa"/>
            <w:shd w:val="clear" w:color="auto" w:fill="auto"/>
          </w:tcPr>
          <w:p w14:paraId="5784E346" w14:textId="77777777" w:rsidR="008D628C" w:rsidRDefault="004F5E4D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Interviews undertaken in staffed buildings that are </w:t>
            </w:r>
            <w:r w:rsidR="00730A1F">
              <w:rPr>
                <w:rFonts w:cs="Arial"/>
                <w:szCs w:val="24"/>
              </w:rPr>
              <w:t>licensed residential facilities</w:t>
            </w:r>
            <w:r w:rsidR="00902948">
              <w:rPr>
                <w:rFonts w:cs="Arial"/>
                <w:szCs w:val="24"/>
              </w:rPr>
              <w:t xml:space="preserve"> with residents that are deemed </w:t>
            </w:r>
            <w:r w:rsidR="002912AD">
              <w:rPr>
                <w:rFonts w:cs="Arial"/>
                <w:szCs w:val="24"/>
              </w:rPr>
              <w:t>‘</w:t>
            </w:r>
            <w:r w:rsidR="00902948">
              <w:rPr>
                <w:rFonts w:cs="Arial"/>
                <w:szCs w:val="24"/>
              </w:rPr>
              <w:t xml:space="preserve">low </w:t>
            </w:r>
            <w:proofErr w:type="gramStart"/>
            <w:r w:rsidR="00902948">
              <w:rPr>
                <w:rFonts w:cs="Arial"/>
                <w:szCs w:val="24"/>
              </w:rPr>
              <w:t>risk</w:t>
            </w:r>
            <w:proofErr w:type="gramEnd"/>
            <w:r w:rsidR="002912AD">
              <w:rPr>
                <w:rFonts w:cs="Arial"/>
                <w:szCs w:val="24"/>
              </w:rPr>
              <w:t>’</w:t>
            </w:r>
          </w:p>
          <w:p w14:paraId="200FD22B" w14:textId="77777777" w:rsidR="00060A7D" w:rsidRDefault="00060A7D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Only </w:t>
            </w:r>
            <w:r w:rsidR="00491E1F">
              <w:rPr>
                <w:rFonts w:cs="Arial"/>
                <w:szCs w:val="24"/>
              </w:rPr>
              <w:t>M-level and PhD</w:t>
            </w:r>
            <w:r>
              <w:rPr>
                <w:rFonts w:cs="Arial"/>
                <w:szCs w:val="24"/>
              </w:rPr>
              <w:t xml:space="preserve"> </w:t>
            </w:r>
            <w:r w:rsidR="00902948">
              <w:rPr>
                <w:rFonts w:cs="Arial"/>
                <w:szCs w:val="24"/>
              </w:rPr>
              <w:t>students (researchers)</w:t>
            </w:r>
            <w:r>
              <w:rPr>
                <w:rFonts w:cs="Arial"/>
                <w:szCs w:val="24"/>
              </w:rPr>
              <w:t xml:space="preserve"> participating who will have </w:t>
            </w:r>
            <w:r w:rsidR="002912AD">
              <w:rPr>
                <w:rFonts w:cs="Arial"/>
                <w:szCs w:val="24"/>
              </w:rPr>
              <w:t xml:space="preserve">gained </w:t>
            </w:r>
            <w:r>
              <w:rPr>
                <w:rFonts w:cs="Arial"/>
                <w:szCs w:val="24"/>
              </w:rPr>
              <w:t xml:space="preserve">previous interview experience as part of their </w:t>
            </w:r>
            <w:proofErr w:type="gramStart"/>
            <w:r>
              <w:rPr>
                <w:rFonts w:cs="Arial"/>
                <w:szCs w:val="24"/>
              </w:rPr>
              <w:t>degree</w:t>
            </w:r>
            <w:proofErr w:type="gramEnd"/>
          </w:p>
          <w:p w14:paraId="19FE7804" w14:textId="77777777" w:rsidR="00060A7D" w:rsidRDefault="00060A7D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Academic Supervisor has knowledge of skills / experience of participating </w:t>
            </w:r>
            <w:r w:rsidR="00902948">
              <w:rPr>
                <w:rFonts w:cs="Arial"/>
                <w:szCs w:val="24"/>
              </w:rPr>
              <w:t>researchers</w:t>
            </w:r>
            <w:r>
              <w:rPr>
                <w:rFonts w:cs="Arial"/>
                <w:szCs w:val="24"/>
              </w:rPr>
              <w:t xml:space="preserve"> and will provide additional support if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524EF45D" w14:textId="77777777" w:rsidR="004F5E4D" w:rsidRDefault="00730A1F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Interviews will take place in </w:t>
            </w:r>
            <w:r w:rsidR="00BD0BC7">
              <w:rPr>
                <w:rFonts w:cs="Arial"/>
                <w:szCs w:val="24"/>
              </w:rPr>
              <w:t>public</w:t>
            </w:r>
            <w:r>
              <w:rPr>
                <w:rFonts w:cs="Arial"/>
                <w:szCs w:val="24"/>
              </w:rPr>
              <w:t xml:space="preserve"> areas in clear sight of others (not in </w:t>
            </w:r>
            <w:proofErr w:type="gramStart"/>
            <w:r>
              <w:rPr>
                <w:rFonts w:cs="Arial"/>
                <w:szCs w:val="24"/>
              </w:rPr>
              <w:t>residents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r w:rsidR="00BD0BC7">
              <w:rPr>
                <w:rFonts w:cs="Arial"/>
                <w:szCs w:val="24"/>
              </w:rPr>
              <w:t>room</w:t>
            </w:r>
            <w:r>
              <w:rPr>
                <w:rFonts w:cs="Arial"/>
                <w:szCs w:val="24"/>
              </w:rPr>
              <w:t>)</w:t>
            </w:r>
          </w:p>
          <w:p w14:paraId="3A01757E" w14:textId="77777777" w:rsidR="00060A7D" w:rsidRDefault="00060A7D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Due to nature of service facility provides accessible arrangements </w:t>
            </w:r>
            <w:proofErr w:type="gramStart"/>
            <w:r>
              <w:rPr>
                <w:rFonts w:cs="Arial"/>
                <w:szCs w:val="24"/>
              </w:rPr>
              <w:t>available</w:t>
            </w:r>
            <w:proofErr w:type="gramEnd"/>
          </w:p>
          <w:p w14:paraId="65053737" w14:textId="77777777" w:rsidR="00BD0BC7" w:rsidRDefault="00BD0BC7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‘Ideal Participant’ </w:t>
            </w:r>
            <w:r w:rsidR="00902948">
              <w:rPr>
                <w:rFonts w:cs="Arial"/>
                <w:szCs w:val="24"/>
              </w:rPr>
              <w:t>brief</w:t>
            </w:r>
            <w:r>
              <w:rPr>
                <w:rFonts w:cs="Arial"/>
                <w:szCs w:val="24"/>
              </w:rPr>
              <w:t xml:space="preserve"> provided to Centre. Facility Manager then responsible for selecting suitable resident</w:t>
            </w:r>
            <w:r w:rsidR="00060A7D">
              <w:rPr>
                <w:rFonts w:cs="Arial"/>
                <w:szCs w:val="24"/>
              </w:rPr>
              <w:t xml:space="preserve"> (participant)</w:t>
            </w:r>
            <w:r>
              <w:rPr>
                <w:rFonts w:cs="Arial"/>
                <w:szCs w:val="24"/>
              </w:rPr>
              <w:t xml:space="preserve"> </w:t>
            </w:r>
            <w:r w:rsidR="00060A7D">
              <w:rPr>
                <w:rFonts w:cs="Arial"/>
                <w:szCs w:val="24"/>
              </w:rPr>
              <w:t xml:space="preserve">in </w:t>
            </w:r>
            <w:r w:rsidR="00060A7D">
              <w:rPr>
                <w:rFonts w:cs="Arial"/>
                <w:szCs w:val="24"/>
              </w:rPr>
              <w:lastRenderedPageBreak/>
              <w:t xml:space="preserve">conjunction with </w:t>
            </w:r>
            <w:proofErr w:type="gramStart"/>
            <w:r w:rsidR="00902948">
              <w:rPr>
                <w:rFonts w:cs="Arial"/>
                <w:szCs w:val="24"/>
              </w:rPr>
              <w:t>researcher</w:t>
            </w:r>
            <w:proofErr w:type="gramEnd"/>
            <w:r w:rsidR="00060A7D">
              <w:rPr>
                <w:rFonts w:cs="Arial"/>
                <w:szCs w:val="24"/>
              </w:rPr>
              <w:t xml:space="preserve"> </w:t>
            </w:r>
          </w:p>
          <w:p w14:paraId="14242E05" w14:textId="77777777" w:rsidR="00730A1F" w:rsidRDefault="00730A1F" w:rsidP="00BD0BC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Local arrangements </w:t>
            </w:r>
            <w:r w:rsidR="00BD0BC7">
              <w:rPr>
                <w:rFonts w:cs="Arial"/>
                <w:szCs w:val="24"/>
              </w:rPr>
              <w:t xml:space="preserve">and clear escalation protocols for control of foreseeable ‘situations’ </w:t>
            </w:r>
            <w:r>
              <w:rPr>
                <w:rFonts w:cs="Arial"/>
                <w:szCs w:val="24"/>
              </w:rPr>
              <w:t xml:space="preserve">will be agreed with each </w:t>
            </w:r>
            <w:proofErr w:type="gramStart"/>
            <w:r>
              <w:rPr>
                <w:rFonts w:cs="Arial"/>
                <w:szCs w:val="24"/>
              </w:rPr>
              <w:t>Centre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4B064504" w14:textId="77777777" w:rsidR="00D36BC6" w:rsidRPr="001960D0" w:rsidRDefault="00D36BC6" w:rsidP="00C23B0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On-line diary established which researchers must complete so others know </w:t>
            </w:r>
            <w:r w:rsidR="00C23B0C">
              <w:rPr>
                <w:rFonts w:cs="Arial"/>
                <w:szCs w:val="24"/>
              </w:rPr>
              <w:t xml:space="preserve">interview details </w:t>
            </w:r>
            <w:proofErr w:type="spellStart"/>
            <w:r w:rsidR="00C23B0C">
              <w:rPr>
                <w:rFonts w:cs="Arial"/>
                <w:szCs w:val="24"/>
              </w:rPr>
              <w:t>ie</w:t>
            </w:r>
            <w:proofErr w:type="spellEnd"/>
            <w:r w:rsidR="00C23B0C">
              <w:rPr>
                <w:rFonts w:cs="Arial"/>
                <w:szCs w:val="24"/>
              </w:rPr>
              <w:t xml:space="preserve"> where, when, contact number</w:t>
            </w:r>
          </w:p>
        </w:tc>
        <w:tc>
          <w:tcPr>
            <w:tcW w:w="4365" w:type="dxa"/>
            <w:shd w:val="clear" w:color="auto" w:fill="FCE0E0"/>
          </w:tcPr>
          <w:p w14:paraId="4A928411" w14:textId="77777777" w:rsidR="008D628C" w:rsidRPr="00D36BC6" w:rsidRDefault="00BD0BC7" w:rsidP="00D36BC6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Remind </w:t>
            </w:r>
            <w:r w:rsidR="00902948">
              <w:rPr>
                <w:rFonts w:cs="Calibri"/>
                <w:szCs w:val="24"/>
              </w:rPr>
              <w:t>researchers</w:t>
            </w:r>
            <w:r w:rsidR="008D628C" w:rsidRPr="001960D0">
              <w:rPr>
                <w:rFonts w:cs="Calibri"/>
                <w:szCs w:val="24"/>
              </w:rPr>
              <w:t xml:space="preserve"> of arrangements they are responsible for </w:t>
            </w:r>
            <w:proofErr w:type="spellStart"/>
            <w:r w:rsidR="008D628C" w:rsidRPr="001960D0">
              <w:rPr>
                <w:rFonts w:cs="Calibri"/>
                <w:szCs w:val="24"/>
              </w:rPr>
              <w:t>eg</w:t>
            </w:r>
            <w:proofErr w:type="spellEnd"/>
            <w:r w:rsidR="008D628C" w:rsidRPr="001960D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travel arrangements, agreeing escala</w:t>
            </w:r>
            <w:r w:rsidR="00D36BC6">
              <w:rPr>
                <w:rFonts w:cs="Calibri"/>
                <w:szCs w:val="24"/>
              </w:rPr>
              <w:t>tion protocols with each Centre, College emergency arrangements</w:t>
            </w:r>
            <w:r w:rsidR="00BD41F8">
              <w:rPr>
                <w:rFonts w:cs="Calibri"/>
                <w:szCs w:val="24"/>
              </w:rPr>
              <w:t xml:space="preserve">, having means to contact </w:t>
            </w:r>
            <w:proofErr w:type="gramStart"/>
            <w:r w:rsidR="00BD41F8">
              <w:rPr>
                <w:rFonts w:cs="Calibri"/>
                <w:szCs w:val="24"/>
              </w:rPr>
              <w:t>others</w:t>
            </w:r>
            <w:proofErr w:type="gramEnd"/>
          </w:p>
          <w:p w14:paraId="71E1634E" w14:textId="77777777" w:rsidR="00D36BC6" w:rsidRPr="00BD0BC7" w:rsidRDefault="00D36BC6" w:rsidP="00D36BC6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Remind researchers they must complete on-line diary sheet</w:t>
            </w:r>
          </w:p>
        </w:tc>
        <w:tc>
          <w:tcPr>
            <w:tcW w:w="1134" w:type="dxa"/>
            <w:shd w:val="clear" w:color="auto" w:fill="auto"/>
          </w:tcPr>
          <w:p w14:paraId="6EAB8D16" w14:textId="77777777" w:rsidR="008D628C" w:rsidRDefault="00D36BC6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Ac. Sup.</w:t>
            </w:r>
          </w:p>
          <w:p w14:paraId="4650789B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82FB6A4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97E6D5E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236AD68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6A724CF" w14:textId="77777777" w:rsidR="00C94C31" w:rsidRPr="001960D0" w:rsidRDefault="00C94C31" w:rsidP="00D36BC6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553BCB41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36BC6" w:rsidRPr="001960D0" w14:paraId="1FDAE40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22F3A11" w14:textId="77777777" w:rsidR="00D36BC6" w:rsidRPr="001960D0" w:rsidRDefault="00D36BC6" w:rsidP="00D36B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8D38A72" w14:textId="77777777" w:rsidR="00D36BC6" w:rsidRPr="001960D0" w:rsidRDefault="00D36BC6" w:rsidP="00D36BC6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Human Participants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distress when discussing sensitive topics and / or being questioned by someone not known to them</w:t>
            </w:r>
          </w:p>
        </w:tc>
        <w:tc>
          <w:tcPr>
            <w:tcW w:w="1259" w:type="dxa"/>
            <w:shd w:val="clear" w:color="auto" w:fill="auto"/>
          </w:tcPr>
          <w:p w14:paraId="6673234F" w14:textId="77777777" w:rsidR="00D36BC6" w:rsidRPr="001960D0" w:rsidRDefault="00D36BC6" w:rsidP="00D36BC6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Participant</w:t>
            </w:r>
          </w:p>
        </w:tc>
        <w:tc>
          <w:tcPr>
            <w:tcW w:w="4535" w:type="dxa"/>
            <w:shd w:val="clear" w:color="auto" w:fill="auto"/>
          </w:tcPr>
          <w:p w14:paraId="6A1E7D1E" w14:textId="77777777" w:rsidR="00D36BC6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Research approved by </w:t>
            </w:r>
            <w:r w:rsidR="00E323BF">
              <w:rPr>
                <w:rFonts w:cs="Arial"/>
                <w:szCs w:val="24"/>
              </w:rPr>
              <w:t>College</w:t>
            </w:r>
            <w:r>
              <w:rPr>
                <w:rFonts w:cs="Arial"/>
                <w:szCs w:val="24"/>
              </w:rPr>
              <w:t xml:space="preserve"> Ethics </w:t>
            </w:r>
            <w:r w:rsidR="00E323BF">
              <w:rPr>
                <w:rFonts w:cs="Arial"/>
                <w:szCs w:val="24"/>
              </w:rPr>
              <w:t xml:space="preserve">Committee that </w:t>
            </w:r>
            <w:r>
              <w:rPr>
                <w:rFonts w:cs="Arial"/>
                <w:szCs w:val="24"/>
              </w:rPr>
              <w:t xml:space="preserve">considers impact </w:t>
            </w:r>
            <w:r w:rsidR="008763F7">
              <w:rPr>
                <w:rFonts w:cs="Arial"/>
                <w:szCs w:val="24"/>
              </w:rPr>
              <w:t>on</w:t>
            </w:r>
            <w:r>
              <w:rPr>
                <w:rFonts w:cs="Arial"/>
                <w:szCs w:val="24"/>
              </w:rPr>
              <w:t xml:space="preserve"> </w:t>
            </w:r>
            <w:proofErr w:type="gramStart"/>
            <w:r>
              <w:rPr>
                <w:rFonts w:cs="Arial"/>
                <w:szCs w:val="24"/>
              </w:rPr>
              <w:t>participants</w:t>
            </w:r>
            <w:proofErr w:type="gramEnd"/>
          </w:p>
          <w:p w14:paraId="2EB2C58F" w14:textId="77777777" w:rsidR="00D36BC6" w:rsidRDefault="008763F7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Centre Manager</w:t>
            </w:r>
            <w:r w:rsidR="00D36BC6">
              <w:rPr>
                <w:rFonts w:cs="Arial"/>
                <w:szCs w:val="24"/>
              </w:rPr>
              <w:t xml:space="preserve">s will select suitable participants in conjunction with </w:t>
            </w:r>
            <w:proofErr w:type="gramStart"/>
            <w:r w:rsidR="00D36BC6">
              <w:rPr>
                <w:rFonts w:cs="Arial"/>
                <w:szCs w:val="24"/>
              </w:rPr>
              <w:t>researcher</w:t>
            </w:r>
            <w:proofErr w:type="gramEnd"/>
            <w:r w:rsidR="00D36BC6">
              <w:rPr>
                <w:rFonts w:cs="Arial"/>
                <w:szCs w:val="24"/>
              </w:rPr>
              <w:t xml:space="preserve"> </w:t>
            </w:r>
          </w:p>
          <w:p w14:paraId="1B51DABD" w14:textId="77777777" w:rsidR="00D36BC6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 the subject is eating habits, the risk of distress is considered </w:t>
            </w:r>
            <w:proofErr w:type="gramStart"/>
            <w:r>
              <w:rPr>
                <w:rFonts w:cs="Arial"/>
                <w:szCs w:val="24"/>
              </w:rPr>
              <w:t>low</w:t>
            </w:r>
            <w:proofErr w:type="gramEnd"/>
          </w:p>
          <w:p w14:paraId="2E414BB2" w14:textId="77777777" w:rsidR="00D36BC6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Centre staff available at all times if concerns arise during </w:t>
            </w:r>
            <w:proofErr w:type="gramStart"/>
            <w:r>
              <w:rPr>
                <w:rFonts w:cs="Arial"/>
                <w:szCs w:val="24"/>
              </w:rPr>
              <w:t>interview</w:t>
            </w:r>
            <w:proofErr w:type="gramEnd"/>
          </w:p>
          <w:p w14:paraId="1A01A6A3" w14:textId="77777777" w:rsidR="00D36BC6" w:rsidRPr="00902948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Participant Brief / Informed Consent prepared and to be given / obtained by researcher before interview starts</w:t>
            </w:r>
            <w:r w:rsidR="005E04EF">
              <w:rPr>
                <w:rFonts w:cs="Arial"/>
                <w:szCs w:val="24"/>
              </w:rPr>
              <w:t xml:space="preserve"> with data held as per GDPR requirements</w:t>
            </w:r>
          </w:p>
        </w:tc>
        <w:tc>
          <w:tcPr>
            <w:tcW w:w="4365" w:type="dxa"/>
            <w:shd w:val="clear" w:color="auto" w:fill="FCE0E0"/>
          </w:tcPr>
          <w:p w14:paraId="4C626CD1" w14:textId="77777777" w:rsidR="005E04EF" w:rsidRDefault="005E04EF" w:rsidP="00D36BC6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Notify changes in research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participant profile, topic to </w:t>
            </w:r>
            <w:proofErr w:type="gramStart"/>
            <w:r>
              <w:rPr>
                <w:rFonts w:cs="Arial"/>
                <w:szCs w:val="24"/>
              </w:rPr>
              <w:t>Ethics</w:t>
            </w:r>
            <w:proofErr w:type="gramEnd"/>
            <w:r>
              <w:rPr>
                <w:rFonts w:cs="Arial"/>
                <w:szCs w:val="24"/>
              </w:rPr>
              <w:t xml:space="preserve"> for review / approval</w:t>
            </w:r>
          </w:p>
          <w:p w14:paraId="76F57134" w14:textId="77777777" w:rsidR="00D36BC6" w:rsidRDefault="00D36BC6" w:rsidP="00D36BC6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Remind researchers they must brief each participant in what the research involves and obtain ‘Informed Consent’ before the interview </w:t>
            </w:r>
            <w:proofErr w:type="gramStart"/>
            <w:r>
              <w:rPr>
                <w:rFonts w:cs="Arial"/>
                <w:szCs w:val="24"/>
              </w:rPr>
              <w:t>starts</w:t>
            </w:r>
            <w:proofErr w:type="gramEnd"/>
          </w:p>
          <w:p w14:paraId="4104CB95" w14:textId="77777777" w:rsidR="00D36BC6" w:rsidRPr="001960D0" w:rsidRDefault="00D36BC6" w:rsidP="00D36BC6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Ensure researchers understand data protection requirements</w:t>
            </w:r>
          </w:p>
        </w:tc>
        <w:tc>
          <w:tcPr>
            <w:tcW w:w="1134" w:type="dxa"/>
            <w:shd w:val="clear" w:color="auto" w:fill="auto"/>
          </w:tcPr>
          <w:p w14:paraId="7002D7FC" w14:textId="77777777" w:rsidR="00D36BC6" w:rsidRDefault="00D36BC6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Ac. Sup.</w:t>
            </w:r>
          </w:p>
          <w:p w14:paraId="3824DBFA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917E25B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453A36A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37B0D1C8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56CA8F2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49A03BD" w14:textId="77777777" w:rsidR="00C94C31" w:rsidRPr="001960D0" w:rsidRDefault="00C94C31" w:rsidP="00D36BC6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238E2980" w14:textId="77777777" w:rsidR="00D36BC6" w:rsidRPr="001960D0" w:rsidRDefault="00D36BC6" w:rsidP="00D36BC6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36BC6" w:rsidRPr="001960D0" w14:paraId="0D845DFF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B6B8451" w14:textId="77777777" w:rsidR="00D36BC6" w:rsidRPr="001960D0" w:rsidRDefault="00D36BC6" w:rsidP="00D36B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6BFD6BD" w14:textId="77777777" w:rsidR="00D36BC6" w:rsidRPr="001960D0" w:rsidRDefault="00D36BC6" w:rsidP="00D36BC6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Emergencies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researcher experiencing</w:t>
            </w:r>
            <w:r w:rsidRPr="001960D0">
              <w:rPr>
                <w:rFonts w:cs="Arial"/>
                <w:szCs w:val="24"/>
              </w:rPr>
              <w:t xml:space="preserve"> ill health, injuries</w:t>
            </w:r>
            <w:r>
              <w:rPr>
                <w:rFonts w:cs="Arial"/>
                <w:szCs w:val="24"/>
              </w:rPr>
              <w:t xml:space="preserve"> or other incident during research</w:t>
            </w:r>
          </w:p>
        </w:tc>
        <w:tc>
          <w:tcPr>
            <w:tcW w:w="1259" w:type="dxa"/>
            <w:shd w:val="clear" w:color="auto" w:fill="auto"/>
          </w:tcPr>
          <w:p w14:paraId="189DFD29" w14:textId="77777777" w:rsidR="00D36BC6" w:rsidRPr="001960D0" w:rsidRDefault="00D36BC6" w:rsidP="00D36BC6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Researcher</w:t>
            </w:r>
          </w:p>
        </w:tc>
        <w:tc>
          <w:tcPr>
            <w:tcW w:w="4535" w:type="dxa"/>
            <w:shd w:val="clear" w:color="auto" w:fill="auto"/>
          </w:tcPr>
          <w:p w14:paraId="0005C1F9" w14:textId="77777777" w:rsidR="00D36BC6" w:rsidRPr="00F47577" w:rsidRDefault="00D36BC6" w:rsidP="00D36BC6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77EF2A25" w14:textId="77777777" w:rsidR="00D36BC6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Due to the nature of their service, all </w:t>
            </w:r>
            <w:proofErr w:type="spellStart"/>
            <w:r>
              <w:rPr>
                <w:rFonts w:cs="Arial"/>
                <w:szCs w:val="24"/>
              </w:rPr>
              <w:t>Centres</w:t>
            </w:r>
            <w:proofErr w:type="spellEnd"/>
            <w:r>
              <w:rPr>
                <w:rFonts w:cs="Arial"/>
                <w:szCs w:val="24"/>
              </w:rPr>
              <w:t xml:space="preserve"> will have first aid </w:t>
            </w:r>
            <w:proofErr w:type="gramStart"/>
            <w:r w:rsidR="008763F7">
              <w:rPr>
                <w:rFonts w:cs="Arial"/>
                <w:szCs w:val="24"/>
              </w:rPr>
              <w:t>provision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2D30D298" w14:textId="77777777" w:rsidR="00D36BC6" w:rsidRDefault="00D36BC6" w:rsidP="00D36BC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Researchers using own vehicle advised to arrange breakdown </w:t>
            </w:r>
            <w:proofErr w:type="gramStart"/>
            <w:r>
              <w:rPr>
                <w:rFonts w:cs="Arial"/>
                <w:szCs w:val="24"/>
              </w:rPr>
              <w:t>cover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450BC9F1" w14:textId="77777777" w:rsidR="00C23B0C" w:rsidRPr="00F47577" w:rsidRDefault="00C23B0C" w:rsidP="00BD41F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Researchers to take mobile phone</w:t>
            </w:r>
            <w:r w:rsidR="00BD41F8">
              <w:rPr>
                <w:rFonts w:cs="Arial"/>
                <w:szCs w:val="24"/>
              </w:rPr>
              <w:t xml:space="preserve"> and relevant emergency contact numbers </w:t>
            </w:r>
          </w:p>
        </w:tc>
        <w:tc>
          <w:tcPr>
            <w:tcW w:w="4365" w:type="dxa"/>
            <w:shd w:val="clear" w:color="auto" w:fill="FCE0E0"/>
          </w:tcPr>
          <w:p w14:paraId="704EE948" w14:textId="77777777" w:rsidR="00D36BC6" w:rsidRDefault="00D36BC6" w:rsidP="00D36BC6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1E585AFB" w14:textId="77777777" w:rsidR="00D36BC6" w:rsidRPr="00D36BC6" w:rsidRDefault="00D36BC6" w:rsidP="00D36BC6">
            <w:pPr>
              <w:numPr>
                <w:ilvl w:val="0"/>
                <w:numId w:val="30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Provide </w:t>
            </w:r>
            <w:r w:rsidR="00C23B0C">
              <w:rPr>
                <w:rFonts w:cs="Arial"/>
                <w:szCs w:val="24"/>
              </w:rPr>
              <w:t xml:space="preserve">suitable </w:t>
            </w:r>
            <w:r>
              <w:rPr>
                <w:rFonts w:cs="Arial"/>
                <w:szCs w:val="24"/>
              </w:rPr>
              <w:t xml:space="preserve">emergency contact details to researchers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School Admin Office, University Security (01248 38 2795)</w:t>
            </w:r>
          </w:p>
          <w:p w14:paraId="3EA71158" w14:textId="77777777" w:rsidR="00D36BC6" w:rsidRPr="001960D0" w:rsidRDefault="00D36BC6" w:rsidP="00D36BC6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5145B8" w14:textId="77777777" w:rsidR="00C94C31" w:rsidRDefault="00C94C31" w:rsidP="00D36BC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AEC7B24" w14:textId="77777777" w:rsidR="00D36BC6" w:rsidRPr="001960D0" w:rsidRDefault="00D36BC6" w:rsidP="00D36BC6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Ac. Sup.</w:t>
            </w:r>
          </w:p>
        </w:tc>
        <w:tc>
          <w:tcPr>
            <w:tcW w:w="1136" w:type="dxa"/>
            <w:shd w:val="clear" w:color="auto" w:fill="auto"/>
          </w:tcPr>
          <w:p w14:paraId="2D3CB8A5" w14:textId="77777777" w:rsidR="00D36BC6" w:rsidRPr="001960D0" w:rsidRDefault="00D36BC6" w:rsidP="00D36BC6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</w:tbl>
    <w:p w14:paraId="2A16C120" w14:textId="77777777" w:rsidR="0037417E" w:rsidRPr="008763F7" w:rsidRDefault="0037417E" w:rsidP="008763F7">
      <w:pPr>
        <w:spacing w:after="0"/>
        <w:rPr>
          <w:b/>
          <w:sz w:val="16"/>
          <w:szCs w:val="16"/>
          <w:lang w:val="en-GB"/>
        </w:rPr>
      </w:pPr>
    </w:p>
    <w:sectPr w:rsidR="0037417E" w:rsidRPr="008763F7" w:rsidSect="00F0057E">
      <w:footerReference w:type="default" r:id="rId14"/>
      <w:footerReference w:type="first" r:id="rId15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2267" w14:textId="77777777" w:rsidR="008E4018" w:rsidRDefault="008E4018" w:rsidP="00C00C18">
      <w:pPr>
        <w:spacing w:after="0" w:line="240" w:lineRule="auto"/>
      </w:pPr>
      <w:r>
        <w:separator/>
      </w:r>
    </w:p>
  </w:endnote>
  <w:endnote w:type="continuationSeparator" w:id="0">
    <w:p w14:paraId="641A5EBC" w14:textId="77777777" w:rsidR="008E4018" w:rsidRDefault="008E4018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C23B0C" w:rsidRPr="002D0053" w14:paraId="70A618E0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46DF33DF" w14:textId="77777777" w:rsidR="00C23B0C" w:rsidRPr="002D0053" w:rsidRDefault="00C23B0C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BD5CD92" w14:textId="77777777" w:rsidR="00C23B0C" w:rsidRPr="002D0053" w:rsidRDefault="00C23B0C" w:rsidP="008763F7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Social Research in </w:t>
          </w:r>
          <w:r w:rsidR="008763F7">
            <w:rPr>
              <w:sz w:val="18"/>
              <w:szCs w:val="18"/>
            </w:rPr>
            <w:t xml:space="preserve">Residential </w:t>
          </w:r>
          <w:r>
            <w:rPr>
              <w:sz w:val="18"/>
              <w:szCs w:val="18"/>
            </w:rPr>
            <w:t>Care Centre(s)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43C58E4" w14:textId="77777777" w:rsidR="00C23B0C" w:rsidRPr="002D0053" w:rsidRDefault="00C23B0C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A2B109A" w14:textId="77777777" w:rsidR="00C23B0C" w:rsidRPr="002D0053" w:rsidRDefault="00C23B0C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1289B64" w14:textId="6FB42A9D" w:rsidR="00C23B0C" w:rsidRPr="002D0053" w:rsidRDefault="00964E99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DDE350E" w14:textId="77777777" w:rsidR="00C23B0C" w:rsidRPr="002D0053" w:rsidRDefault="00C23B0C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9B4F6A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9B4F6A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2F152B75" w14:textId="77777777" w:rsidR="00C23B0C" w:rsidRPr="002D0053" w:rsidRDefault="00C23B0C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C23B0C" w:rsidRPr="002D0053" w14:paraId="0A25D3B4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23BA2DE7" w14:textId="77777777" w:rsidR="00C23B0C" w:rsidRPr="002D0053" w:rsidRDefault="00C23B0C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87FC3DF" w14:textId="77777777" w:rsidR="00C23B0C" w:rsidRPr="002D0053" w:rsidRDefault="00C23B0C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88A0A65" w14:textId="77777777" w:rsidR="00C23B0C" w:rsidRPr="002D0053" w:rsidRDefault="00C23B0C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2BD8A01" w14:textId="77777777" w:rsidR="00C23B0C" w:rsidRPr="002D0053" w:rsidRDefault="00C23B0C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C63FC84" w14:textId="77777777" w:rsidR="00C23B0C" w:rsidRPr="002D0053" w:rsidRDefault="00C23B0C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2DB179D" w14:textId="77777777" w:rsidR="00C23B0C" w:rsidRPr="002D0053" w:rsidRDefault="00C23B0C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BD41F8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683768EB" w14:textId="77777777" w:rsidR="00C23B0C" w:rsidRPr="00F0057E" w:rsidRDefault="00C23B0C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F915" w14:textId="77777777" w:rsidR="008E4018" w:rsidRDefault="008E4018" w:rsidP="00C00C18">
      <w:pPr>
        <w:spacing w:after="0" w:line="240" w:lineRule="auto"/>
      </w:pPr>
      <w:r>
        <w:separator/>
      </w:r>
    </w:p>
  </w:footnote>
  <w:footnote w:type="continuationSeparator" w:id="0">
    <w:p w14:paraId="7D51F25A" w14:textId="77777777" w:rsidR="008E4018" w:rsidRDefault="008E4018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6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C00"/>
    <w:multiLevelType w:val="hybridMultilevel"/>
    <w:tmpl w:val="383CAD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7C15"/>
    <w:multiLevelType w:val="hybridMultilevel"/>
    <w:tmpl w:val="EA10FF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105B1"/>
    <w:multiLevelType w:val="hybridMultilevel"/>
    <w:tmpl w:val="017E81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006238">
    <w:abstractNumId w:val="5"/>
  </w:num>
  <w:num w:numId="2" w16cid:durableId="646857633">
    <w:abstractNumId w:val="23"/>
  </w:num>
  <w:num w:numId="3" w16cid:durableId="1017737532">
    <w:abstractNumId w:val="26"/>
  </w:num>
  <w:num w:numId="4" w16cid:durableId="1835300534">
    <w:abstractNumId w:val="1"/>
  </w:num>
  <w:num w:numId="5" w16cid:durableId="18774732">
    <w:abstractNumId w:val="24"/>
  </w:num>
  <w:num w:numId="6" w16cid:durableId="604386763">
    <w:abstractNumId w:val="15"/>
  </w:num>
  <w:num w:numId="7" w16cid:durableId="1590696419">
    <w:abstractNumId w:val="30"/>
  </w:num>
  <w:num w:numId="8" w16cid:durableId="1612399831">
    <w:abstractNumId w:val="9"/>
  </w:num>
  <w:num w:numId="9" w16cid:durableId="967932829">
    <w:abstractNumId w:val="25"/>
  </w:num>
  <w:num w:numId="10" w16cid:durableId="88088560">
    <w:abstractNumId w:val="12"/>
  </w:num>
  <w:num w:numId="11" w16cid:durableId="1917785744">
    <w:abstractNumId w:val="20"/>
  </w:num>
  <w:num w:numId="12" w16cid:durableId="912083535">
    <w:abstractNumId w:val="11"/>
  </w:num>
  <w:num w:numId="13" w16cid:durableId="6450730">
    <w:abstractNumId w:val="4"/>
  </w:num>
  <w:num w:numId="14" w16cid:durableId="233050478">
    <w:abstractNumId w:val="16"/>
  </w:num>
  <w:num w:numId="15" w16cid:durableId="1801410250">
    <w:abstractNumId w:val="13"/>
  </w:num>
  <w:num w:numId="16" w16cid:durableId="1417362569">
    <w:abstractNumId w:val="2"/>
  </w:num>
  <w:num w:numId="17" w16cid:durableId="121047557">
    <w:abstractNumId w:val="28"/>
  </w:num>
  <w:num w:numId="18" w16cid:durableId="470631559">
    <w:abstractNumId w:val="6"/>
  </w:num>
  <w:num w:numId="19" w16cid:durableId="818234299">
    <w:abstractNumId w:val="29"/>
  </w:num>
  <w:num w:numId="20" w16cid:durableId="820199571">
    <w:abstractNumId w:val="10"/>
  </w:num>
  <w:num w:numId="21" w16cid:durableId="39667167">
    <w:abstractNumId w:val="21"/>
  </w:num>
  <w:num w:numId="22" w16cid:durableId="812017079">
    <w:abstractNumId w:val="19"/>
  </w:num>
  <w:num w:numId="23" w16cid:durableId="1981113338">
    <w:abstractNumId w:val="27"/>
  </w:num>
  <w:num w:numId="24" w16cid:durableId="1025248631">
    <w:abstractNumId w:val="8"/>
  </w:num>
  <w:num w:numId="25" w16cid:durableId="1227839099">
    <w:abstractNumId w:val="3"/>
  </w:num>
  <w:num w:numId="26" w16cid:durableId="1981181563">
    <w:abstractNumId w:val="14"/>
  </w:num>
  <w:num w:numId="27" w16cid:durableId="1017536482">
    <w:abstractNumId w:val="18"/>
  </w:num>
  <w:num w:numId="28" w16cid:durableId="796878647">
    <w:abstractNumId w:val="0"/>
  </w:num>
  <w:num w:numId="29" w16cid:durableId="1816795015">
    <w:abstractNumId w:val="17"/>
  </w:num>
  <w:num w:numId="30" w16cid:durableId="1151024293">
    <w:abstractNumId w:val="7"/>
  </w:num>
  <w:num w:numId="31" w16cid:durableId="149226020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0A7D"/>
    <w:rsid w:val="000658BD"/>
    <w:rsid w:val="00065BC3"/>
    <w:rsid w:val="00066D22"/>
    <w:rsid w:val="00071CC1"/>
    <w:rsid w:val="00072489"/>
    <w:rsid w:val="000752DA"/>
    <w:rsid w:val="000762E4"/>
    <w:rsid w:val="00081BFA"/>
    <w:rsid w:val="0008374C"/>
    <w:rsid w:val="00083D54"/>
    <w:rsid w:val="0009660D"/>
    <w:rsid w:val="00096C31"/>
    <w:rsid w:val="000C37BA"/>
    <w:rsid w:val="000D52C2"/>
    <w:rsid w:val="000D54C6"/>
    <w:rsid w:val="000D794D"/>
    <w:rsid w:val="000F3E72"/>
    <w:rsid w:val="0010330C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293D"/>
    <w:rsid w:val="00174D40"/>
    <w:rsid w:val="00175012"/>
    <w:rsid w:val="00176829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4BE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3B5D"/>
    <w:rsid w:val="002269DE"/>
    <w:rsid w:val="002551E7"/>
    <w:rsid w:val="002568D5"/>
    <w:rsid w:val="0026781F"/>
    <w:rsid w:val="00274DDF"/>
    <w:rsid w:val="002912AD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86C7C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6D2"/>
    <w:rsid w:val="003C169C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79EB"/>
    <w:rsid w:val="004302C3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1E1F"/>
    <w:rsid w:val="00494033"/>
    <w:rsid w:val="004969B6"/>
    <w:rsid w:val="00497963"/>
    <w:rsid w:val="00497CCC"/>
    <w:rsid w:val="004A028B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5E4D"/>
    <w:rsid w:val="004F6044"/>
    <w:rsid w:val="00510490"/>
    <w:rsid w:val="00510E6E"/>
    <w:rsid w:val="0051197D"/>
    <w:rsid w:val="00511FE5"/>
    <w:rsid w:val="00513922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4CCE"/>
    <w:rsid w:val="005E04EF"/>
    <w:rsid w:val="005E2E3E"/>
    <w:rsid w:val="005E5092"/>
    <w:rsid w:val="005E79AB"/>
    <w:rsid w:val="005F2275"/>
    <w:rsid w:val="005F3485"/>
    <w:rsid w:val="005F6021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FF5"/>
    <w:rsid w:val="006B7B1D"/>
    <w:rsid w:val="006C3251"/>
    <w:rsid w:val="006E2B44"/>
    <w:rsid w:val="006F0248"/>
    <w:rsid w:val="006F7AA1"/>
    <w:rsid w:val="00701C01"/>
    <w:rsid w:val="00702706"/>
    <w:rsid w:val="00712AE8"/>
    <w:rsid w:val="007166A4"/>
    <w:rsid w:val="007225E3"/>
    <w:rsid w:val="0072371E"/>
    <w:rsid w:val="00730A1F"/>
    <w:rsid w:val="00732AC6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7ACA"/>
    <w:rsid w:val="007A0A6B"/>
    <w:rsid w:val="007A30C5"/>
    <w:rsid w:val="007A332D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5FF8"/>
    <w:rsid w:val="008546C5"/>
    <w:rsid w:val="008647AE"/>
    <w:rsid w:val="00866411"/>
    <w:rsid w:val="008672DD"/>
    <w:rsid w:val="00873726"/>
    <w:rsid w:val="00873925"/>
    <w:rsid w:val="0087420A"/>
    <w:rsid w:val="0087455E"/>
    <w:rsid w:val="00874CB3"/>
    <w:rsid w:val="008763F7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4018"/>
    <w:rsid w:val="008E5311"/>
    <w:rsid w:val="008E5A85"/>
    <w:rsid w:val="008E66E2"/>
    <w:rsid w:val="008E7380"/>
    <w:rsid w:val="0090075E"/>
    <w:rsid w:val="0090292F"/>
    <w:rsid w:val="00902948"/>
    <w:rsid w:val="00903F16"/>
    <w:rsid w:val="009066F8"/>
    <w:rsid w:val="00907D8B"/>
    <w:rsid w:val="00910FAE"/>
    <w:rsid w:val="00912724"/>
    <w:rsid w:val="00912FCC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4E99"/>
    <w:rsid w:val="0096536A"/>
    <w:rsid w:val="00966E1E"/>
    <w:rsid w:val="00971B59"/>
    <w:rsid w:val="00972425"/>
    <w:rsid w:val="009727C8"/>
    <w:rsid w:val="00973475"/>
    <w:rsid w:val="00980799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4F6A"/>
    <w:rsid w:val="009B7081"/>
    <w:rsid w:val="009B7598"/>
    <w:rsid w:val="009C577D"/>
    <w:rsid w:val="009C59DB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0185"/>
    <w:rsid w:val="00A116DB"/>
    <w:rsid w:val="00A121E5"/>
    <w:rsid w:val="00A1234C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2951"/>
    <w:rsid w:val="00B46E7B"/>
    <w:rsid w:val="00B53D69"/>
    <w:rsid w:val="00B5739B"/>
    <w:rsid w:val="00B66678"/>
    <w:rsid w:val="00B71203"/>
    <w:rsid w:val="00B73A6B"/>
    <w:rsid w:val="00B76F8B"/>
    <w:rsid w:val="00B8517F"/>
    <w:rsid w:val="00B9247A"/>
    <w:rsid w:val="00BA1277"/>
    <w:rsid w:val="00BC0293"/>
    <w:rsid w:val="00BC1B71"/>
    <w:rsid w:val="00BC1BFC"/>
    <w:rsid w:val="00BD0BC7"/>
    <w:rsid w:val="00BD41F8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3B0C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55D3"/>
    <w:rsid w:val="00C66103"/>
    <w:rsid w:val="00C664CC"/>
    <w:rsid w:val="00C67318"/>
    <w:rsid w:val="00C6779A"/>
    <w:rsid w:val="00C7051A"/>
    <w:rsid w:val="00C7273A"/>
    <w:rsid w:val="00C76336"/>
    <w:rsid w:val="00C8630A"/>
    <w:rsid w:val="00C94C31"/>
    <w:rsid w:val="00CA1819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BC6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23BF"/>
    <w:rsid w:val="00E3326E"/>
    <w:rsid w:val="00E33B70"/>
    <w:rsid w:val="00E36A2B"/>
    <w:rsid w:val="00E43902"/>
    <w:rsid w:val="00E5448F"/>
    <w:rsid w:val="00E67A74"/>
    <w:rsid w:val="00E67EDD"/>
    <w:rsid w:val="00E71233"/>
    <w:rsid w:val="00E87CD2"/>
    <w:rsid w:val="00E93262"/>
    <w:rsid w:val="00EA281C"/>
    <w:rsid w:val="00EA35B5"/>
    <w:rsid w:val="00EA6C76"/>
    <w:rsid w:val="00EB1591"/>
    <w:rsid w:val="00EC1CCB"/>
    <w:rsid w:val="00EC2C00"/>
    <w:rsid w:val="00EC2EBA"/>
    <w:rsid w:val="00EC36FF"/>
    <w:rsid w:val="00EC606B"/>
    <w:rsid w:val="00ED115E"/>
    <w:rsid w:val="00ED294E"/>
    <w:rsid w:val="00ED6B31"/>
    <w:rsid w:val="00EE2B1F"/>
    <w:rsid w:val="00EE3665"/>
    <w:rsid w:val="00EE3EEE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517D"/>
    <w:rsid w:val="00F85280"/>
    <w:rsid w:val="00F85743"/>
    <w:rsid w:val="00F86B21"/>
    <w:rsid w:val="00F91269"/>
    <w:rsid w:val="00F91482"/>
    <w:rsid w:val="00F96FF8"/>
    <w:rsid w:val="00FA1420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7660E799"/>
  <w15:chartTrackingRefBased/>
  <w15:docId w15:val="{1322010F-D232-4D9B-9D94-E65B6B3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fieldwork.php.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E6E7B-CAEE-4E28-9C5E-5D3B2B1DC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B997C-9A26-4410-A664-C3345D1C1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C93C-A9B7-443F-A211-0CFDBA35B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0C089-32D3-4EDC-A33C-1F8FF1F040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BE0743-8965-4A4C-90FD-73B343E1F6C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8eaf66e-27d3-43e8-b14c-201d909744d2"/>
    <ds:schemaRef ds:uri="http://purl.org/dc/terms/"/>
    <ds:schemaRef ds:uri="http://schemas.microsoft.com/office/2006/documentManagement/types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5295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https://www.bangor.ac.uk/hss/inflink/fieldwork.php.en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2018-06-07T06:38:00Z</cp:lastPrinted>
  <dcterms:created xsi:type="dcterms:W3CDTF">2023-07-27T10:28:00Z</dcterms:created>
  <dcterms:modified xsi:type="dcterms:W3CDTF">2023-07-27T10:28:00Z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