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2D" w:rsidRDefault="0050412D" w:rsidP="005501C9">
      <w:pPr>
        <w:rPr>
          <w:b/>
          <w:bCs/>
        </w:rPr>
      </w:pPr>
      <w:r w:rsidRPr="00D558E0">
        <w:rPr>
          <w:b/>
          <w:bCs/>
        </w:rPr>
        <w:t>CYN</w:t>
      </w:r>
      <w:r>
        <w:rPr>
          <w:b/>
          <w:bCs/>
        </w:rPr>
        <w:t>LLUN GWEITHREDU ATHENA SWAN 2011 – 2014</w:t>
      </w:r>
      <w:r w:rsidRPr="00D558E0">
        <w:rPr>
          <w:b/>
          <w:bCs/>
        </w:rPr>
        <w:t xml:space="preserve">  </w:t>
      </w:r>
      <w:r>
        <w:rPr>
          <w:b/>
          <w:bCs/>
        </w:rPr>
        <w:t>A</w:t>
      </w:r>
      <w:r w:rsidRPr="00D558E0">
        <w:rPr>
          <w:b/>
          <w:bCs/>
        </w:rPr>
        <w:t xml:space="preserve">THENA SWAN ACTION PLAN </w:t>
      </w:r>
    </w:p>
    <w:p w:rsidR="0050412D" w:rsidRDefault="0050412D" w:rsidP="00D558E0">
      <w:pPr>
        <w:rPr>
          <w:b/>
          <w:bCs/>
        </w:rPr>
      </w:pPr>
    </w:p>
    <w:p w:rsidR="0050412D" w:rsidRPr="005501C9" w:rsidRDefault="0050412D" w:rsidP="00B0464C">
      <w:pPr>
        <w:rPr>
          <w:i/>
          <w:iCs/>
          <w:sz w:val="22"/>
          <w:szCs w:val="22"/>
        </w:rPr>
      </w:pPr>
      <w:r w:rsidRPr="005501C9">
        <w:rPr>
          <w:i/>
          <w:iCs/>
          <w:sz w:val="22"/>
          <w:szCs w:val="22"/>
        </w:rPr>
        <w:t xml:space="preserve">(This plan </w:t>
      </w:r>
      <w:r>
        <w:rPr>
          <w:i/>
          <w:iCs/>
          <w:sz w:val="22"/>
          <w:szCs w:val="22"/>
        </w:rPr>
        <w:t>complement</w:t>
      </w:r>
      <w:r w:rsidRPr="005501C9">
        <w:rPr>
          <w:i/>
          <w:iCs/>
          <w:sz w:val="22"/>
          <w:szCs w:val="22"/>
        </w:rPr>
        <w:t>s the University’s Gender Action Plan)</w:t>
      </w:r>
    </w:p>
    <w:p w:rsidR="0050412D" w:rsidRDefault="0050412D" w:rsidP="00D558E0">
      <w:pPr>
        <w:rPr>
          <w:b/>
          <w:bCs/>
        </w:rPr>
      </w:pPr>
      <w:bookmarkStart w:id="0" w:name="_GoBack"/>
      <w:bookmarkEnd w:id="0"/>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953"/>
        <w:gridCol w:w="1720"/>
        <w:gridCol w:w="1417"/>
        <w:gridCol w:w="3809"/>
      </w:tblGrid>
      <w:tr w:rsidR="0050412D" w:rsidTr="005472D2">
        <w:tc>
          <w:tcPr>
            <w:tcW w:w="959" w:type="dxa"/>
          </w:tcPr>
          <w:p w:rsidR="0050412D" w:rsidRPr="005472D2" w:rsidRDefault="0050412D" w:rsidP="00D558E0">
            <w:pPr>
              <w:rPr>
                <w:b/>
                <w:bCs/>
                <w:sz w:val="22"/>
                <w:szCs w:val="22"/>
              </w:rPr>
            </w:pPr>
          </w:p>
        </w:tc>
        <w:tc>
          <w:tcPr>
            <w:tcW w:w="5953" w:type="dxa"/>
          </w:tcPr>
          <w:p w:rsidR="0050412D" w:rsidRPr="005472D2" w:rsidRDefault="0050412D" w:rsidP="00D558E0">
            <w:pPr>
              <w:rPr>
                <w:b/>
                <w:bCs/>
                <w:sz w:val="22"/>
                <w:szCs w:val="22"/>
              </w:rPr>
            </w:pPr>
            <w:r w:rsidRPr="005472D2">
              <w:rPr>
                <w:b/>
                <w:bCs/>
                <w:sz w:val="22"/>
                <w:szCs w:val="22"/>
              </w:rPr>
              <w:t>Action</w:t>
            </w:r>
          </w:p>
        </w:tc>
        <w:tc>
          <w:tcPr>
            <w:tcW w:w="1720" w:type="dxa"/>
          </w:tcPr>
          <w:p w:rsidR="0050412D" w:rsidRPr="005472D2" w:rsidRDefault="0050412D" w:rsidP="00D558E0">
            <w:pPr>
              <w:rPr>
                <w:b/>
                <w:bCs/>
                <w:sz w:val="22"/>
                <w:szCs w:val="22"/>
              </w:rPr>
            </w:pPr>
            <w:r w:rsidRPr="005472D2">
              <w:rPr>
                <w:b/>
                <w:bCs/>
                <w:sz w:val="22"/>
                <w:szCs w:val="22"/>
              </w:rPr>
              <w:t>Responsibility</w:t>
            </w:r>
          </w:p>
        </w:tc>
        <w:tc>
          <w:tcPr>
            <w:tcW w:w="1417" w:type="dxa"/>
          </w:tcPr>
          <w:p w:rsidR="0050412D" w:rsidRPr="005472D2" w:rsidRDefault="0050412D" w:rsidP="00D558E0">
            <w:pPr>
              <w:rPr>
                <w:b/>
                <w:bCs/>
                <w:sz w:val="22"/>
                <w:szCs w:val="22"/>
              </w:rPr>
            </w:pPr>
            <w:r w:rsidRPr="005472D2">
              <w:rPr>
                <w:b/>
                <w:bCs/>
                <w:sz w:val="22"/>
                <w:szCs w:val="22"/>
              </w:rPr>
              <w:t>Timing</w:t>
            </w:r>
          </w:p>
        </w:tc>
        <w:tc>
          <w:tcPr>
            <w:tcW w:w="3809" w:type="dxa"/>
          </w:tcPr>
          <w:p w:rsidR="0050412D" w:rsidRPr="005472D2" w:rsidRDefault="0050412D" w:rsidP="00D558E0">
            <w:pPr>
              <w:rPr>
                <w:b/>
                <w:bCs/>
                <w:sz w:val="22"/>
                <w:szCs w:val="22"/>
              </w:rPr>
            </w:pPr>
            <w:r w:rsidRPr="005472D2">
              <w:rPr>
                <w:b/>
                <w:bCs/>
                <w:sz w:val="22"/>
                <w:szCs w:val="22"/>
              </w:rPr>
              <w:t>Progress</w:t>
            </w:r>
          </w:p>
        </w:tc>
      </w:tr>
      <w:tr w:rsidR="0050412D" w:rsidTr="005472D2">
        <w:tc>
          <w:tcPr>
            <w:tcW w:w="13858" w:type="dxa"/>
            <w:gridSpan w:val="5"/>
            <w:shd w:val="clear" w:color="auto" w:fill="BFBFBF"/>
          </w:tcPr>
          <w:p w:rsidR="0050412D" w:rsidRPr="005472D2" w:rsidRDefault="0050412D" w:rsidP="00D558E0">
            <w:pPr>
              <w:rPr>
                <w:b/>
                <w:bCs/>
              </w:rPr>
            </w:pPr>
            <w:r w:rsidRPr="005472D2">
              <w:rPr>
                <w:b/>
                <w:bCs/>
              </w:rPr>
              <w:t>1  Baseline Data and Development of Supporting Evidence</w:t>
            </w:r>
          </w:p>
        </w:tc>
      </w:tr>
      <w:tr w:rsidR="0050412D" w:rsidTr="005472D2">
        <w:tc>
          <w:tcPr>
            <w:tcW w:w="959" w:type="dxa"/>
          </w:tcPr>
          <w:p w:rsidR="0050412D" w:rsidRPr="005472D2" w:rsidRDefault="0050412D" w:rsidP="00D558E0">
            <w:pPr>
              <w:rPr>
                <w:b/>
                <w:bCs/>
              </w:rPr>
            </w:pPr>
            <w:r w:rsidRPr="005472D2">
              <w:rPr>
                <w:b/>
                <w:bCs/>
              </w:rPr>
              <w:t>1.1</w:t>
            </w:r>
          </w:p>
        </w:tc>
        <w:tc>
          <w:tcPr>
            <w:tcW w:w="5953" w:type="dxa"/>
          </w:tcPr>
          <w:p w:rsidR="0050412D" w:rsidRPr="005472D2" w:rsidRDefault="0050412D" w:rsidP="00D558E0">
            <w:pPr>
              <w:rPr>
                <w:rFonts w:ascii="Calibri" w:hAnsi="Calibri" w:cs="Calibri"/>
                <w:sz w:val="22"/>
                <w:szCs w:val="22"/>
              </w:rPr>
            </w:pPr>
            <w:r w:rsidRPr="005472D2">
              <w:rPr>
                <w:rFonts w:ascii="Calibri" w:hAnsi="Calibri" w:cs="Calibri"/>
                <w:sz w:val="22"/>
                <w:szCs w:val="22"/>
              </w:rPr>
              <w:t>Develop process and format of annual monitoring of gender statistics</w:t>
            </w:r>
          </w:p>
        </w:tc>
        <w:tc>
          <w:tcPr>
            <w:tcW w:w="1720" w:type="dxa"/>
          </w:tcPr>
          <w:p w:rsidR="0050412D" w:rsidRPr="005472D2" w:rsidRDefault="0050412D" w:rsidP="0026380D">
            <w:pPr>
              <w:rPr>
                <w:rFonts w:ascii="Calibri" w:hAnsi="Calibri" w:cs="Calibri"/>
                <w:sz w:val="20"/>
                <w:szCs w:val="20"/>
              </w:rPr>
            </w:pPr>
            <w:r w:rsidRPr="005472D2">
              <w:rPr>
                <w:rFonts w:ascii="Calibri" w:hAnsi="Calibri" w:cs="Calibri"/>
                <w:sz w:val="20"/>
                <w:szCs w:val="20"/>
              </w:rPr>
              <w:t>Director of HR/ Equality Officer</w:t>
            </w:r>
          </w:p>
        </w:tc>
        <w:tc>
          <w:tcPr>
            <w:tcW w:w="1417" w:type="dxa"/>
          </w:tcPr>
          <w:p w:rsidR="0050412D" w:rsidRPr="005472D2" w:rsidRDefault="0050412D" w:rsidP="00D558E0">
            <w:pPr>
              <w:rPr>
                <w:rFonts w:ascii="Calibri" w:hAnsi="Calibri" w:cs="Calibri"/>
                <w:sz w:val="22"/>
                <w:szCs w:val="22"/>
              </w:rPr>
            </w:pPr>
            <w:r w:rsidRPr="005472D2">
              <w:rPr>
                <w:rFonts w:ascii="Calibri" w:hAnsi="Calibri" w:cs="Calibri"/>
                <w:sz w:val="22"/>
                <w:szCs w:val="22"/>
              </w:rPr>
              <w:t>Completed</w:t>
            </w:r>
          </w:p>
        </w:tc>
        <w:tc>
          <w:tcPr>
            <w:tcW w:w="3809" w:type="dxa"/>
          </w:tcPr>
          <w:p w:rsidR="0050412D" w:rsidRPr="005472D2" w:rsidRDefault="0050412D" w:rsidP="00D558E0">
            <w:pPr>
              <w:rPr>
                <w:rFonts w:ascii="Calibri" w:hAnsi="Calibri" w:cs="Calibri"/>
                <w:sz w:val="20"/>
                <w:szCs w:val="20"/>
              </w:rPr>
            </w:pPr>
            <w:r w:rsidRPr="005472D2">
              <w:rPr>
                <w:rFonts w:ascii="Calibri" w:hAnsi="Calibri" w:cs="Calibri"/>
                <w:sz w:val="20"/>
                <w:szCs w:val="20"/>
              </w:rPr>
              <w:t>Process completed following Athena SWAN application</w:t>
            </w:r>
          </w:p>
        </w:tc>
      </w:tr>
      <w:tr w:rsidR="0050412D" w:rsidTr="005472D2">
        <w:tc>
          <w:tcPr>
            <w:tcW w:w="959" w:type="dxa"/>
          </w:tcPr>
          <w:p w:rsidR="0050412D" w:rsidRPr="005472D2" w:rsidRDefault="0050412D" w:rsidP="00D558E0">
            <w:pPr>
              <w:rPr>
                <w:b/>
                <w:bCs/>
              </w:rPr>
            </w:pPr>
            <w:r w:rsidRPr="005472D2">
              <w:rPr>
                <w:b/>
                <w:bCs/>
              </w:rPr>
              <w:t>1.2</w:t>
            </w:r>
          </w:p>
        </w:tc>
        <w:tc>
          <w:tcPr>
            <w:tcW w:w="5953" w:type="dxa"/>
          </w:tcPr>
          <w:p w:rsidR="0050412D" w:rsidRPr="005472D2" w:rsidRDefault="0050412D" w:rsidP="00087E01">
            <w:pPr>
              <w:rPr>
                <w:rFonts w:ascii="Calibri" w:hAnsi="Calibri" w:cs="Calibri"/>
                <w:sz w:val="22"/>
                <w:szCs w:val="22"/>
              </w:rPr>
            </w:pPr>
            <w:r w:rsidRPr="005472D2">
              <w:rPr>
                <w:rFonts w:ascii="Calibri" w:hAnsi="Calibri" w:cs="Calibri"/>
                <w:sz w:val="22"/>
                <w:szCs w:val="22"/>
              </w:rPr>
              <w:t xml:space="preserve">Ensure regular communication and reporting of gender statistics </w:t>
            </w:r>
          </w:p>
        </w:tc>
        <w:tc>
          <w:tcPr>
            <w:tcW w:w="1720" w:type="dxa"/>
          </w:tcPr>
          <w:p w:rsidR="0050412D" w:rsidRPr="005472D2" w:rsidRDefault="0050412D" w:rsidP="00D558E0">
            <w:pPr>
              <w:rPr>
                <w:rFonts w:ascii="Calibri" w:hAnsi="Calibri" w:cs="Calibri"/>
                <w:sz w:val="20"/>
                <w:szCs w:val="20"/>
              </w:rPr>
            </w:pPr>
            <w:r w:rsidRPr="005472D2">
              <w:rPr>
                <w:rFonts w:ascii="Calibri" w:hAnsi="Calibri" w:cs="Calibri"/>
                <w:sz w:val="20"/>
                <w:szCs w:val="20"/>
              </w:rPr>
              <w:t>Director of HR/ Equality Officer</w:t>
            </w:r>
          </w:p>
        </w:tc>
        <w:tc>
          <w:tcPr>
            <w:tcW w:w="1417" w:type="dxa"/>
          </w:tcPr>
          <w:p w:rsidR="0050412D" w:rsidRPr="005472D2" w:rsidRDefault="0050412D" w:rsidP="00D558E0">
            <w:pPr>
              <w:rPr>
                <w:rFonts w:ascii="Calibri" w:hAnsi="Calibri" w:cs="Calibri"/>
                <w:sz w:val="22"/>
                <w:szCs w:val="22"/>
              </w:rPr>
            </w:pPr>
            <w:r w:rsidRPr="005472D2">
              <w:rPr>
                <w:rFonts w:ascii="Calibri" w:hAnsi="Calibri" w:cs="Calibri"/>
                <w:sz w:val="22"/>
                <w:szCs w:val="22"/>
              </w:rPr>
              <w:t>Annually</w:t>
            </w:r>
          </w:p>
        </w:tc>
        <w:tc>
          <w:tcPr>
            <w:tcW w:w="3809" w:type="dxa"/>
          </w:tcPr>
          <w:p w:rsidR="0050412D" w:rsidRPr="005472D2" w:rsidRDefault="0050412D" w:rsidP="00D558E0">
            <w:pPr>
              <w:rPr>
                <w:rFonts w:ascii="Calibri" w:hAnsi="Calibri" w:cs="Calibri"/>
                <w:sz w:val="20"/>
                <w:szCs w:val="20"/>
              </w:rPr>
            </w:pPr>
            <w:r w:rsidRPr="005472D2">
              <w:rPr>
                <w:rFonts w:ascii="Calibri" w:hAnsi="Calibri" w:cs="Calibri"/>
                <w:sz w:val="20"/>
                <w:szCs w:val="20"/>
              </w:rPr>
              <w:t>Communicated to relevant Task Groups and Athena SWAN Groups</w:t>
            </w:r>
          </w:p>
        </w:tc>
      </w:tr>
      <w:tr w:rsidR="0050412D" w:rsidTr="005472D2">
        <w:tc>
          <w:tcPr>
            <w:tcW w:w="959" w:type="dxa"/>
          </w:tcPr>
          <w:p w:rsidR="0050412D" w:rsidRPr="005472D2" w:rsidRDefault="0050412D" w:rsidP="00D558E0">
            <w:pPr>
              <w:rPr>
                <w:b/>
                <w:bCs/>
              </w:rPr>
            </w:pPr>
            <w:r w:rsidRPr="005472D2">
              <w:rPr>
                <w:b/>
                <w:bCs/>
              </w:rPr>
              <w:t>1.3</w:t>
            </w:r>
          </w:p>
        </w:tc>
        <w:tc>
          <w:tcPr>
            <w:tcW w:w="5953" w:type="dxa"/>
          </w:tcPr>
          <w:p w:rsidR="0050412D" w:rsidRPr="005472D2" w:rsidRDefault="0050412D" w:rsidP="00087E01">
            <w:pPr>
              <w:rPr>
                <w:rFonts w:ascii="Calibri" w:hAnsi="Calibri" w:cs="Calibri"/>
                <w:sz w:val="22"/>
                <w:szCs w:val="22"/>
              </w:rPr>
            </w:pPr>
            <w:r w:rsidRPr="005472D2">
              <w:rPr>
                <w:rFonts w:ascii="Calibri" w:hAnsi="Calibri" w:cs="Calibri"/>
                <w:sz w:val="22"/>
                <w:szCs w:val="22"/>
              </w:rPr>
              <w:t>Ensure broad dissemination of information and communication in key decision making groups and task groups in the University e.g. University Executive, HR Task Group, Equality and Diversity Task Group and College and School Executives</w:t>
            </w:r>
          </w:p>
        </w:tc>
        <w:tc>
          <w:tcPr>
            <w:tcW w:w="1720" w:type="dxa"/>
          </w:tcPr>
          <w:p w:rsidR="0050412D" w:rsidRPr="005472D2" w:rsidRDefault="0050412D" w:rsidP="00D558E0">
            <w:pPr>
              <w:rPr>
                <w:rFonts w:ascii="Calibri" w:hAnsi="Calibri" w:cs="Calibri"/>
                <w:sz w:val="20"/>
                <w:szCs w:val="20"/>
              </w:rPr>
            </w:pPr>
            <w:r w:rsidRPr="005472D2">
              <w:rPr>
                <w:rFonts w:ascii="Calibri" w:hAnsi="Calibri" w:cs="Calibri"/>
                <w:sz w:val="20"/>
                <w:szCs w:val="20"/>
              </w:rPr>
              <w:t>HR and Colleges</w:t>
            </w:r>
          </w:p>
        </w:tc>
        <w:tc>
          <w:tcPr>
            <w:tcW w:w="1417" w:type="dxa"/>
          </w:tcPr>
          <w:p w:rsidR="0050412D" w:rsidRPr="005472D2" w:rsidRDefault="0050412D" w:rsidP="00D558E0">
            <w:pPr>
              <w:rPr>
                <w:rFonts w:ascii="Calibri" w:hAnsi="Calibri" w:cs="Calibri"/>
                <w:sz w:val="22"/>
                <w:szCs w:val="22"/>
              </w:rPr>
            </w:pPr>
          </w:p>
        </w:tc>
        <w:tc>
          <w:tcPr>
            <w:tcW w:w="3809" w:type="dxa"/>
          </w:tcPr>
          <w:p w:rsidR="0050412D" w:rsidRPr="005472D2" w:rsidRDefault="0050412D" w:rsidP="00D558E0">
            <w:pPr>
              <w:rPr>
                <w:rFonts w:ascii="Calibri" w:hAnsi="Calibri" w:cs="Calibri"/>
                <w:sz w:val="20"/>
                <w:szCs w:val="20"/>
              </w:rPr>
            </w:pPr>
          </w:p>
        </w:tc>
      </w:tr>
      <w:tr w:rsidR="0050412D" w:rsidTr="005472D2">
        <w:tc>
          <w:tcPr>
            <w:tcW w:w="13858" w:type="dxa"/>
            <w:gridSpan w:val="5"/>
            <w:shd w:val="clear" w:color="auto" w:fill="BFBFBF"/>
          </w:tcPr>
          <w:p w:rsidR="0050412D" w:rsidRPr="005472D2" w:rsidRDefault="0050412D" w:rsidP="00981B13">
            <w:pPr>
              <w:rPr>
                <w:b/>
                <w:bCs/>
              </w:rPr>
            </w:pPr>
            <w:r w:rsidRPr="005472D2">
              <w:rPr>
                <w:b/>
                <w:bCs/>
              </w:rPr>
              <w:t>2  Action Arising from Data</w:t>
            </w:r>
          </w:p>
        </w:tc>
      </w:tr>
      <w:tr w:rsidR="0050412D" w:rsidTr="005472D2">
        <w:tc>
          <w:tcPr>
            <w:tcW w:w="959" w:type="dxa"/>
          </w:tcPr>
          <w:p w:rsidR="0050412D" w:rsidRPr="005472D2" w:rsidRDefault="0050412D" w:rsidP="00230CFA">
            <w:pPr>
              <w:rPr>
                <w:b/>
                <w:bCs/>
              </w:rPr>
            </w:pPr>
            <w:r w:rsidRPr="005472D2">
              <w:rPr>
                <w:b/>
                <w:bCs/>
              </w:rPr>
              <w:t>2.1</w:t>
            </w:r>
          </w:p>
        </w:tc>
        <w:tc>
          <w:tcPr>
            <w:tcW w:w="5953" w:type="dxa"/>
          </w:tcPr>
          <w:p w:rsidR="0050412D" w:rsidRPr="005472D2" w:rsidRDefault="0050412D" w:rsidP="005C69A1">
            <w:pPr>
              <w:rPr>
                <w:rFonts w:ascii="Calibri" w:hAnsi="Calibri" w:cs="Calibri"/>
                <w:bCs/>
                <w:iCs/>
                <w:sz w:val="22"/>
                <w:szCs w:val="22"/>
              </w:rPr>
            </w:pPr>
            <w:r w:rsidRPr="005472D2">
              <w:rPr>
                <w:rFonts w:ascii="Calibri" w:hAnsi="Calibri" w:cs="Calibri"/>
                <w:bCs/>
                <w:iCs/>
                <w:sz w:val="22"/>
                <w:szCs w:val="22"/>
              </w:rPr>
              <w:t>Examine the factors why female post-graduates do not chose to pursue academic careers</w:t>
            </w:r>
          </w:p>
        </w:tc>
        <w:tc>
          <w:tcPr>
            <w:tcW w:w="1720"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Athena SWAN representatives and Deputy Director HR Development</w:t>
            </w:r>
          </w:p>
        </w:tc>
        <w:tc>
          <w:tcPr>
            <w:tcW w:w="1417"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October 2012</w:t>
            </w:r>
          </w:p>
        </w:tc>
        <w:tc>
          <w:tcPr>
            <w:tcW w:w="3809" w:type="dxa"/>
          </w:tcPr>
          <w:p w:rsidR="0050412D" w:rsidRPr="005472D2" w:rsidRDefault="0050412D" w:rsidP="005C69A1">
            <w:pPr>
              <w:rPr>
                <w:rFonts w:ascii="Calibri" w:hAnsi="Calibri" w:cs="Calibri"/>
                <w:sz w:val="20"/>
                <w:szCs w:val="20"/>
              </w:rPr>
            </w:pPr>
          </w:p>
        </w:tc>
      </w:tr>
      <w:tr w:rsidR="0050412D" w:rsidTr="005472D2">
        <w:tc>
          <w:tcPr>
            <w:tcW w:w="959" w:type="dxa"/>
          </w:tcPr>
          <w:p w:rsidR="0050412D" w:rsidRPr="005472D2" w:rsidRDefault="0050412D" w:rsidP="00230CFA">
            <w:pPr>
              <w:rPr>
                <w:b/>
                <w:bCs/>
              </w:rPr>
            </w:pPr>
            <w:r w:rsidRPr="005472D2">
              <w:rPr>
                <w:b/>
                <w:bCs/>
              </w:rPr>
              <w:t>2.2</w:t>
            </w:r>
          </w:p>
        </w:tc>
        <w:tc>
          <w:tcPr>
            <w:tcW w:w="5953" w:type="dxa"/>
          </w:tcPr>
          <w:p w:rsidR="0050412D" w:rsidRPr="005472D2" w:rsidRDefault="0050412D" w:rsidP="005C69A1">
            <w:pPr>
              <w:rPr>
                <w:rFonts w:ascii="Calibri" w:hAnsi="Calibri" w:cs="Calibri"/>
                <w:bCs/>
                <w:iCs/>
                <w:sz w:val="22"/>
                <w:szCs w:val="22"/>
              </w:rPr>
            </w:pPr>
            <w:r w:rsidRPr="005472D2">
              <w:rPr>
                <w:rFonts w:ascii="Calibri" w:hAnsi="Calibri" w:cs="Calibri"/>
                <w:bCs/>
                <w:iCs/>
                <w:sz w:val="22"/>
                <w:szCs w:val="22"/>
              </w:rPr>
              <w:t>Review the contributing factors for the differences between voluntary turnover in the non-SET and SET Colleges</w:t>
            </w:r>
          </w:p>
        </w:tc>
        <w:tc>
          <w:tcPr>
            <w:tcW w:w="1720"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HR Officers</w:t>
            </w:r>
          </w:p>
        </w:tc>
        <w:tc>
          <w:tcPr>
            <w:tcW w:w="1417"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July 2012</w:t>
            </w:r>
          </w:p>
        </w:tc>
        <w:tc>
          <w:tcPr>
            <w:tcW w:w="3809" w:type="dxa"/>
          </w:tcPr>
          <w:p w:rsidR="0050412D" w:rsidRPr="005472D2" w:rsidRDefault="0050412D" w:rsidP="005C69A1">
            <w:pPr>
              <w:rPr>
                <w:rFonts w:ascii="Calibri" w:hAnsi="Calibri" w:cs="Calibri"/>
                <w:sz w:val="20"/>
                <w:szCs w:val="20"/>
              </w:rPr>
            </w:pPr>
          </w:p>
        </w:tc>
      </w:tr>
      <w:tr w:rsidR="0050412D" w:rsidTr="005472D2">
        <w:tc>
          <w:tcPr>
            <w:tcW w:w="959" w:type="dxa"/>
          </w:tcPr>
          <w:p w:rsidR="0050412D" w:rsidRPr="005472D2" w:rsidRDefault="0050412D" w:rsidP="00230CFA">
            <w:pPr>
              <w:rPr>
                <w:b/>
                <w:bCs/>
              </w:rPr>
            </w:pPr>
            <w:r w:rsidRPr="005472D2">
              <w:rPr>
                <w:b/>
                <w:bCs/>
              </w:rPr>
              <w:t>2.3</w:t>
            </w:r>
          </w:p>
        </w:tc>
        <w:tc>
          <w:tcPr>
            <w:tcW w:w="5953" w:type="dxa"/>
          </w:tcPr>
          <w:p w:rsidR="0050412D" w:rsidRPr="005472D2" w:rsidRDefault="0050412D" w:rsidP="00B231B7">
            <w:pPr>
              <w:rPr>
                <w:rFonts w:ascii="Calibri" w:hAnsi="Calibri" w:cs="Calibri"/>
                <w:sz w:val="22"/>
                <w:szCs w:val="22"/>
              </w:rPr>
            </w:pPr>
            <w:r w:rsidRPr="005472D2">
              <w:rPr>
                <w:rFonts w:ascii="Calibri" w:hAnsi="Calibri" w:cs="Calibri"/>
                <w:sz w:val="22"/>
                <w:szCs w:val="22"/>
              </w:rPr>
              <w:t>To annually monitor gender balance with staff on fixed term and permanent contracts</w:t>
            </w:r>
          </w:p>
        </w:tc>
        <w:tc>
          <w:tcPr>
            <w:tcW w:w="1720"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HR Officers</w:t>
            </w:r>
          </w:p>
        </w:tc>
        <w:tc>
          <w:tcPr>
            <w:tcW w:w="1417"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 xml:space="preserve">Annually </w:t>
            </w:r>
          </w:p>
        </w:tc>
        <w:tc>
          <w:tcPr>
            <w:tcW w:w="3809"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This monitoring will be carried out during collection of statistics for reporting under the requirements of the Welsh Equality Duties</w:t>
            </w:r>
          </w:p>
        </w:tc>
      </w:tr>
      <w:tr w:rsidR="0050412D" w:rsidTr="005472D2">
        <w:tc>
          <w:tcPr>
            <w:tcW w:w="959" w:type="dxa"/>
          </w:tcPr>
          <w:p w:rsidR="0050412D" w:rsidRPr="005472D2" w:rsidRDefault="0050412D" w:rsidP="00230CFA">
            <w:pPr>
              <w:rPr>
                <w:b/>
                <w:bCs/>
              </w:rPr>
            </w:pPr>
            <w:r w:rsidRPr="005472D2">
              <w:rPr>
                <w:b/>
                <w:bCs/>
              </w:rPr>
              <w:t>2.4</w:t>
            </w:r>
          </w:p>
        </w:tc>
        <w:tc>
          <w:tcPr>
            <w:tcW w:w="5953" w:type="dxa"/>
          </w:tcPr>
          <w:p w:rsidR="0050412D" w:rsidRPr="005472D2" w:rsidRDefault="0050412D" w:rsidP="005C69A1">
            <w:pPr>
              <w:rPr>
                <w:rFonts w:ascii="Calibri" w:hAnsi="Calibri" w:cs="Calibri"/>
                <w:bCs/>
                <w:iCs/>
                <w:sz w:val="22"/>
                <w:szCs w:val="22"/>
              </w:rPr>
            </w:pPr>
            <w:r w:rsidRPr="005472D2">
              <w:rPr>
                <w:rFonts w:ascii="Calibri" w:hAnsi="Calibri" w:cs="Calibri"/>
                <w:bCs/>
                <w:iCs/>
                <w:sz w:val="22"/>
                <w:szCs w:val="22"/>
              </w:rPr>
              <w:t>To review and address disparities in professorial pay</w:t>
            </w:r>
          </w:p>
        </w:tc>
        <w:tc>
          <w:tcPr>
            <w:tcW w:w="1720" w:type="dxa"/>
          </w:tcPr>
          <w:p w:rsidR="0050412D" w:rsidRPr="005472D2" w:rsidRDefault="0050412D" w:rsidP="00B231B7">
            <w:pPr>
              <w:rPr>
                <w:rFonts w:ascii="Calibri" w:hAnsi="Calibri" w:cs="Calibri"/>
                <w:sz w:val="20"/>
                <w:szCs w:val="20"/>
              </w:rPr>
            </w:pPr>
            <w:r w:rsidRPr="005472D2">
              <w:rPr>
                <w:rFonts w:ascii="Calibri" w:hAnsi="Calibri" w:cs="Calibri"/>
                <w:sz w:val="20"/>
                <w:szCs w:val="20"/>
              </w:rPr>
              <w:t>HR Director</w:t>
            </w:r>
          </w:p>
        </w:tc>
        <w:tc>
          <w:tcPr>
            <w:tcW w:w="1417"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Currently being reviewed</w:t>
            </w:r>
          </w:p>
        </w:tc>
        <w:tc>
          <w:tcPr>
            <w:tcW w:w="3809" w:type="dxa"/>
          </w:tcPr>
          <w:p w:rsidR="0050412D" w:rsidRPr="005472D2" w:rsidRDefault="0050412D" w:rsidP="00087E01">
            <w:pPr>
              <w:rPr>
                <w:rFonts w:ascii="Calibri" w:hAnsi="Calibri" w:cs="Calibri"/>
                <w:sz w:val="20"/>
                <w:szCs w:val="20"/>
              </w:rPr>
            </w:pPr>
            <w:r w:rsidRPr="005472D2">
              <w:rPr>
                <w:rFonts w:ascii="Calibri" w:hAnsi="Calibri" w:cs="Calibri"/>
                <w:sz w:val="20"/>
                <w:szCs w:val="20"/>
              </w:rPr>
              <w:t xml:space="preserve">Initial equal pay audit has already been undertaken </w:t>
            </w:r>
          </w:p>
        </w:tc>
      </w:tr>
      <w:tr w:rsidR="0050412D" w:rsidTr="005472D2">
        <w:tc>
          <w:tcPr>
            <w:tcW w:w="13858" w:type="dxa"/>
            <w:gridSpan w:val="5"/>
            <w:shd w:val="clear" w:color="auto" w:fill="BFBFBF"/>
          </w:tcPr>
          <w:p w:rsidR="0050412D" w:rsidRPr="005472D2" w:rsidRDefault="0050412D" w:rsidP="005C69A1">
            <w:pPr>
              <w:rPr>
                <w:b/>
                <w:bCs/>
              </w:rPr>
            </w:pPr>
            <w:r w:rsidRPr="005472D2">
              <w:rPr>
                <w:b/>
                <w:bCs/>
              </w:rPr>
              <w:t>3  Supporting and Advancing Women’s Careers</w:t>
            </w:r>
          </w:p>
        </w:tc>
      </w:tr>
      <w:tr w:rsidR="0050412D" w:rsidTr="005472D2">
        <w:tc>
          <w:tcPr>
            <w:tcW w:w="959" w:type="dxa"/>
          </w:tcPr>
          <w:p w:rsidR="0050412D" w:rsidRPr="005472D2" w:rsidRDefault="0050412D" w:rsidP="005C69A1">
            <w:pPr>
              <w:rPr>
                <w:b/>
                <w:bCs/>
              </w:rPr>
            </w:pPr>
            <w:r w:rsidRPr="005472D2">
              <w:rPr>
                <w:b/>
                <w:bCs/>
              </w:rPr>
              <w:t>3.1</w:t>
            </w:r>
          </w:p>
        </w:tc>
        <w:tc>
          <w:tcPr>
            <w:tcW w:w="5953" w:type="dxa"/>
          </w:tcPr>
          <w:p w:rsidR="0050412D" w:rsidRPr="005472D2" w:rsidRDefault="0050412D" w:rsidP="005C69A1">
            <w:pPr>
              <w:rPr>
                <w:rFonts w:ascii="Calibri" w:hAnsi="Calibri" w:cs="Calibri"/>
                <w:sz w:val="22"/>
                <w:szCs w:val="22"/>
              </w:rPr>
            </w:pPr>
            <w:r w:rsidRPr="005472D2">
              <w:rPr>
                <w:rFonts w:ascii="Calibri" w:hAnsi="Calibri" w:cs="Calibri"/>
                <w:sz w:val="22"/>
                <w:szCs w:val="22"/>
              </w:rPr>
              <w:t>To ensure that REF selection policies and processes reflect equality best practice</w:t>
            </w:r>
          </w:p>
        </w:tc>
        <w:tc>
          <w:tcPr>
            <w:tcW w:w="1720"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REF Manager and HR</w:t>
            </w:r>
          </w:p>
        </w:tc>
        <w:tc>
          <w:tcPr>
            <w:tcW w:w="1417" w:type="dxa"/>
          </w:tcPr>
          <w:p w:rsidR="0050412D" w:rsidRPr="005472D2" w:rsidRDefault="0050412D" w:rsidP="005C69A1">
            <w:pPr>
              <w:rPr>
                <w:rFonts w:ascii="Calibri" w:hAnsi="Calibri" w:cs="Calibri"/>
                <w:sz w:val="22"/>
                <w:szCs w:val="22"/>
              </w:rPr>
            </w:pPr>
            <w:r w:rsidRPr="005472D2">
              <w:rPr>
                <w:rFonts w:ascii="Calibri" w:hAnsi="Calibri" w:cs="Calibri"/>
                <w:sz w:val="22"/>
                <w:szCs w:val="22"/>
              </w:rPr>
              <w:t>2012</w:t>
            </w:r>
          </w:p>
        </w:tc>
        <w:tc>
          <w:tcPr>
            <w:tcW w:w="3809"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Initial discussions regarding approach have been held</w:t>
            </w:r>
          </w:p>
        </w:tc>
      </w:tr>
      <w:tr w:rsidR="0050412D" w:rsidTr="005472D2">
        <w:tc>
          <w:tcPr>
            <w:tcW w:w="959" w:type="dxa"/>
          </w:tcPr>
          <w:p w:rsidR="0050412D" w:rsidRPr="005472D2" w:rsidRDefault="0050412D" w:rsidP="005C69A1">
            <w:pPr>
              <w:rPr>
                <w:b/>
                <w:bCs/>
              </w:rPr>
            </w:pPr>
            <w:r w:rsidRPr="005472D2">
              <w:rPr>
                <w:b/>
                <w:bCs/>
              </w:rPr>
              <w:t>3.2</w:t>
            </w:r>
          </w:p>
        </w:tc>
        <w:tc>
          <w:tcPr>
            <w:tcW w:w="5953" w:type="dxa"/>
          </w:tcPr>
          <w:p w:rsidR="0050412D" w:rsidRPr="005472D2" w:rsidRDefault="0050412D" w:rsidP="004B45E2">
            <w:pPr>
              <w:rPr>
                <w:rFonts w:ascii="Calibri" w:hAnsi="Calibri"/>
                <w:bCs/>
                <w:iCs/>
                <w:sz w:val="22"/>
                <w:szCs w:val="22"/>
              </w:rPr>
            </w:pPr>
            <w:r w:rsidRPr="005472D2">
              <w:rPr>
                <w:rFonts w:ascii="Calibri" w:hAnsi="Calibri" w:cs="Calibri"/>
                <w:bCs/>
                <w:iCs/>
                <w:sz w:val="22"/>
                <w:szCs w:val="22"/>
              </w:rPr>
              <w:t>To encourage women to work towards progression and apply for promotion in the SET Colleges from January 2012</w:t>
            </w:r>
          </w:p>
        </w:tc>
        <w:tc>
          <w:tcPr>
            <w:tcW w:w="1720"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Heads of College</w:t>
            </w:r>
          </w:p>
        </w:tc>
        <w:tc>
          <w:tcPr>
            <w:tcW w:w="1417" w:type="dxa"/>
          </w:tcPr>
          <w:p w:rsidR="0050412D" w:rsidRPr="005472D2" w:rsidRDefault="0050412D" w:rsidP="005C69A1">
            <w:pPr>
              <w:rPr>
                <w:rFonts w:ascii="Calibri" w:hAnsi="Calibri" w:cs="Calibri"/>
                <w:sz w:val="20"/>
                <w:szCs w:val="20"/>
              </w:rPr>
            </w:pPr>
            <w:r w:rsidRPr="005472D2">
              <w:rPr>
                <w:rFonts w:ascii="Calibri" w:hAnsi="Calibri" w:cs="Calibri"/>
                <w:sz w:val="22"/>
                <w:szCs w:val="22"/>
              </w:rPr>
              <w:t>Review annually</w:t>
            </w:r>
          </w:p>
        </w:tc>
        <w:tc>
          <w:tcPr>
            <w:tcW w:w="3809"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Hold a presentation for staff when the new senior academic promotion policy and criteria are approved.</w:t>
            </w:r>
          </w:p>
        </w:tc>
      </w:tr>
      <w:tr w:rsidR="0050412D" w:rsidTr="005472D2">
        <w:tc>
          <w:tcPr>
            <w:tcW w:w="959" w:type="dxa"/>
          </w:tcPr>
          <w:p w:rsidR="0050412D" w:rsidRPr="005472D2" w:rsidRDefault="0050412D" w:rsidP="005C69A1">
            <w:pPr>
              <w:rPr>
                <w:b/>
                <w:bCs/>
              </w:rPr>
            </w:pPr>
            <w:r w:rsidRPr="005472D2">
              <w:rPr>
                <w:b/>
                <w:bCs/>
              </w:rPr>
              <w:t>3.3</w:t>
            </w:r>
          </w:p>
        </w:tc>
        <w:tc>
          <w:tcPr>
            <w:tcW w:w="5953" w:type="dxa"/>
          </w:tcPr>
          <w:p w:rsidR="0050412D" w:rsidRPr="005472D2" w:rsidRDefault="0050412D" w:rsidP="004B45E2">
            <w:pPr>
              <w:rPr>
                <w:rFonts w:ascii="Calibri" w:hAnsi="Calibri"/>
                <w:bCs/>
                <w:iCs/>
                <w:sz w:val="22"/>
                <w:szCs w:val="22"/>
              </w:rPr>
            </w:pPr>
            <w:r w:rsidRPr="005472D2">
              <w:rPr>
                <w:rFonts w:ascii="Calibri" w:hAnsi="Calibri"/>
                <w:bCs/>
                <w:iCs/>
                <w:sz w:val="22"/>
                <w:szCs w:val="22"/>
              </w:rPr>
              <w:t xml:space="preserve">Develop Career Development guidelines and career development web page for staff </w:t>
            </w:r>
          </w:p>
          <w:p w:rsidR="0050412D" w:rsidRPr="005472D2" w:rsidRDefault="0050412D" w:rsidP="005472D2">
            <w:pPr>
              <w:pStyle w:val="ListParagraph"/>
              <w:numPr>
                <w:ilvl w:val="0"/>
                <w:numId w:val="6"/>
              </w:numPr>
              <w:rPr>
                <w:bCs/>
                <w:iCs/>
              </w:rPr>
            </w:pPr>
            <w:r w:rsidRPr="005472D2">
              <w:rPr>
                <w:rFonts w:ascii="Calibri" w:hAnsi="Calibri"/>
                <w:bCs/>
                <w:iCs/>
                <w:sz w:val="22"/>
                <w:szCs w:val="22"/>
              </w:rPr>
              <w:t>Build career development website for researchers</w:t>
            </w:r>
          </w:p>
          <w:p w:rsidR="0050412D" w:rsidRPr="005472D2" w:rsidRDefault="0050412D" w:rsidP="005472D2">
            <w:pPr>
              <w:pStyle w:val="ListParagraph"/>
              <w:numPr>
                <w:ilvl w:val="0"/>
                <w:numId w:val="6"/>
              </w:numPr>
              <w:rPr>
                <w:bCs/>
                <w:iCs/>
              </w:rPr>
            </w:pPr>
            <w:r w:rsidRPr="005472D2">
              <w:rPr>
                <w:rFonts w:ascii="Calibri" w:hAnsi="Calibri"/>
                <w:bCs/>
                <w:iCs/>
                <w:sz w:val="22"/>
                <w:szCs w:val="22"/>
              </w:rPr>
              <w:t xml:space="preserve">Write guidelines and consult with Colleges and UCU </w:t>
            </w:r>
          </w:p>
        </w:tc>
        <w:tc>
          <w:tcPr>
            <w:tcW w:w="1720" w:type="dxa"/>
          </w:tcPr>
          <w:p w:rsidR="0050412D" w:rsidRPr="005472D2" w:rsidRDefault="0050412D" w:rsidP="00C959B9">
            <w:pPr>
              <w:rPr>
                <w:rFonts w:ascii="Calibri" w:hAnsi="Calibri" w:cs="Calibri"/>
                <w:sz w:val="20"/>
                <w:szCs w:val="20"/>
              </w:rPr>
            </w:pPr>
            <w:r w:rsidRPr="005472D2">
              <w:rPr>
                <w:rFonts w:ascii="Calibri" w:hAnsi="Calibri" w:cs="Calibri"/>
                <w:sz w:val="20"/>
                <w:szCs w:val="20"/>
              </w:rPr>
              <w:t>Director, ADU, Deputy Director HR and Research Manager</w:t>
            </w:r>
          </w:p>
        </w:tc>
        <w:tc>
          <w:tcPr>
            <w:tcW w:w="1417"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September 2012</w:t>
            </w:r>
          </w:p>
          <w:p w:rsidR="0050412D" w:rsidRPr="005472D2" w:rsidRDefault="0050412D" w:rsidP="005C69A1">
            <w:pPr>
              <w:rPr>
                <w:rFonts w:ascii="Calibri" w:hAnsi="Calibri" w:cs="Calibri"/>
                <w:sz w:val="20"/>
                <w:szCs w:val="20"/>
              </w:rPr>
            </w:pPr>
            <w:r w:rsidRPr="005472D2">
              <w:rPr>
                <w:rFonts w:ascii="Calibri" w:hAnsi="Calibri" w:cs="Calibri"/>
                <w:sz w:val="20"/>
                <w:szCs w:val="20"/>
              </w:rPr>
              <w:t>January 2013</w:t>
            </w:r>
          </w:p>
        </w:tc>
        <w:tc>
          <w:tcPr>
            <w:tcW w:w="3809"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This will include support staff who support research and teaching and learning</w:t>
            </w:r>
          </w:p>
        </w:tc>
      </w:tr>
      <w:tr w:rsidR="0050412D" w:rsidTr="005472D2">
        <w:tc>
          <w:tcPr>
            <w:tcW w:w="959" w:type="dxa"/>
          </w:tcPr>
          <w:p w:rsidR="0050412D" w:rsidRPr="005472D2" w:rsidRDefault="0050412D" w:rsidP="005C69A1">
            <w:pPr>
              <w:rPr>
                <w:b/>
                <w:bCs/>
              </w:rPr>
            </w:pPr>
            <w:r w:rsidRPr="005472D2">
              <w:rPr>
                <w:b/>
                <w:bCs/>
              </w:rPr>
              <w:t>3.4</w:t>
            </w:r>
          </w:p>
        </w:tc>
        <w:tc>
          <w:tcPr>
            <w:tcW w:w="5953" w:type="dxa"/>
          </w:tcPr>
          <w:p w:rsidR="0050412D" w:rsidRPr="005472D2" w:rsidRDefault="0050412D" w:rsidP="005A256A">
            <w:pPr>
              <w:rPr>
                <w:rFonts w:ascii="Calibri" w:hAnsi="Calibri" w:cs="Calibri"/>
                <w:sz w:val="22"/>
                <w:szCs w:val="22"/>
              </w:rPr>
            </w:pPr>
            <w:r w:rsidRPr="005472D2">
              <w:rPr>
                <w:rFonts w:ascii="Calibri" w:hAnsi="Calibri" w:cs="Calibri"/>
                <w:sz w:val="22"/>
                <w:szCs w:val="22"/>
              </w:rPr>
              <w:t>Further develop female mentoring in the University</w:t>
            </w:r>
          </w:p>
          <w:p w:rsidR="0050412D" w:rsidRPr="005472D2" w:rsidRDefault="0050412D" w:rsidP="005472D2">
            <w:pPr>
              <w:pStyle w:val="ListParagraph"/>
              <w:numPr>
                <w:ilvl w:val="0"/>
                <w:numId w:val="6"/>
              </w:numPr>
              <w:rPr>
                <w:rFonts w:ascii="Calibri" w:hAnsi="Calibri" w:cs="Calibri"/>
                <w:sz w:val="22"/>
                <w:szCs w:val="22"/>
              </w:rPr>
            </w:pPr>
            <w:r w:rsidRPr="005472D2">
              <w:rPr>
                <w:rFonts w:ascii="Calibri" w:hAnsi="Calibri" w:cs="Calibri"/>
                <w:sz w:val="22"/>
                <w:szCs w:val="22"/>
              </w:rPr>
              <w:t>Publicise WUMS</w:t>
            </w:r>
          </w:p>
          <w:p w:rsidR="0050412D" w:rsidRPr="005472D2" w:rsidRDefault="0050412D" w:rsidP="005472D2">
            <w:pPr>
              <w:pStyle w:val="ListParagraph"/>
              <w:numPr>
                <w:ilvl w:val="0"/>
                <w:numId w:val="6"/>
              </w:numPr>
              <w:rPr>
                <w:rFonts w:ascii="Calibri" w:hAnsi="Calibri"/>
                <w:bCs/>
                <w:iCs/>
                <w:sz w:val="22"/>
                <w:szCs w:val="22"/>
              </w:rPr>
            </w:pPr>
            <w:r w:rsidRPr="005472D2">
              <w:rPr>
                <w:rFonts w:ascii="Calibri" w:hAnsi="Calibri" w:cs="Calibri"/>
                <w:sz w:val="22"/>
                <w:szCs w:val="22"/>
              </w:rPr>
              <w:t>Examine potential of group mentoring for early career female academics</w:t>
            </w:r>
          </w:p>
        </w:tc>
        <w:tc>
          <w:tcPr>
            <w:tcW w:w="1720"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Deputy Director HR Development and Staff Development Officer</w:t>
            </w:r>
          </w:p>
        </w:tc>
        <w:tc>
          <w:tcPr>
            <w:tcW w:w="1417" w:type="dxa"/>
          </w:tcPr>
          <w:p w:rsidR="0050412D" w:rsidRPr="005472D2" w:rsidRDefault="0050412D" w:rsidP="005C69A1">
            <w:pPr>
              <w:rPr>
                <w:rFonts w:ascii="Calibri" w:hAnsi="Calibri" w:cs="Calibri"/>
                <w:sz w:val="22"/>
                <w:szCs w:val="22"/>
              </w:rPr>
            </w:pPr>
            <w:r w:rsidRPr="005472D2">
              <w:rPr>
                <w:rFonts w:ascii="Calibri" w:hAnsi="Calibri" w:cs="Calibri"/>
                <w:sz w:val="22"/>
                <w:szCs w:val="22"/>
              </w:rPr>
              <w:t>September 2012</w:t>
            </w:r>
          </w:p>
        </w:tc>
        <w:tc>
          <w:tcPr>
            <w:tcW w:w="3809" w:type="dxa"/>
          </w:tcPr>
          <w:p w:rsidR="0050412D" w:rsidRPr="005472D2" w:rsidRDefault="0050412D" w:rsidP="005C69A1">
            <w:pPr>
              <w:rPr>
                <w:rFonts w:ascii="Calibri" w:hAnsi="Calibri" w:cs="Calibri"/>
                <w:sz w:val="22"/>
                <w:szCs w:val="22"/>
              </w:rPr>
            </w:pPr>
            <w:r w:rsidRPr="005472D2">
              <w:rPr>
                <w:rFonts w:ascii="Calibri" w:hAnsi="Calibri" w:cs="Calibri"/>
                <w:sz w:val="22"/>
                <w:szCs w:val="22"/>
              </w:rPr>
              <w:t>Publicised recent call for mentors and mentees.  Training held 18 November.</w:t>
            </w:r>
          </w:p>
          <w:p w:rsidR="0050412D" w:rsidRPr="005472D2" w:rsidRDefault="0050412D" w:rsidP="005C69A1">
            <w:pPr>
              <w:rPr>
                <w:rFonts w:ascii="Calibri" w:hAnsi="Calibri" w:cs="Calibri"/>
                <w:sz w:val="22"/>
                <w:szCs w:val="22"/>
              </w:rPr>
            </w:pPr>
            <w:r w:rsidRPr="005472D2">
              <w:rPr>
                <w:rFonts w:ascii="Calibri" w:hAnsi="Calibri" w:cs="Calibri"/>
                <w:sz w:val="22"/>
                <w:szCs w:val="22"/>
              </w:rPr>
              <w:t>Review internal mentoring in joint project with Aberystwyth University.</w:t>
            </w:r>
          </w:p>
        </w:tc>
      </w:tr>
      <w:tr w:rsidR="0050412D" w:rsidTr="005472D2">
        <w:tc>
          <w:tcPr>
            <w:tcW w:w="959" w:type="dxa"/>
          </w:tcPr>
          <w:p w:rsidR="0050412D" w:rsidRPr="005472D2" w:rsidRDefault="0050412D" w:rsidP="005C69A1">
            <w:pPr>
              <w:rPr>
                <w:b/>
                <w:bCs/>
              </w:rPr>
            </w:pPr>
            <w:r w:rsidRPr="005472D2">
              <w:rPr>
                <w:b/>
                <w:bCs/>
              </w:rPr>
              <w:t>3.5</w:t>
            </w:r>
          </w:p>
        </w:tc>
        <w:tc>
          <w:tcPr>
            <w:tcW w:w="5953" w:type="dxa"/>
          </w:tcPr>
          <w:p w:rsidR="0050412D" w:rsidRPr="005472D2" w:rsidRDefault="0050412D" w:rsidP="005C69A1">
            <w:pPr>
              <w:rPr>
                <w:rFonts w:ascii="Calibri" w:hAnsi="Calibri" w:cs="Calibri"/>
                <w:sz w:val="22"/>
                <w:szCs w:val="22"/>
              </w:rPr>
            </w:pPr>
            <w:r w:rsidRPr="005472D2">
              <w:rPr>
                <w:rFonts w:ascii="Calibri" w:hAnsi="Calibri" w:cs="Calibri"/>
                <w:sz w:val="22"/>
                <w:szCs w:val="22"/>
              </w:rPr>
              <w:t>Further develop the gender website as a resource for female staff</w:t>
            </w:r>
          </w:p>
        </w:tc>
        <w:tc>
          <w:tcPr>
            <w:tcW w:w="1720"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Staff Development Team</w:t>
            </w:r>
          </w:p>
        </w:tc>
        <w:tc>
          <w:tcPr>
            <w:tcW w:w="1417" w:type="dxa"/>
          </w:tcPr>
          <w:p w:rsidR="0050412D" w:rsidRPr="005472D2" w:rsidRDefault="0050412D" w:rsidP="005C69A1">
            <w:pPr>
              <w:rPr>
                <w:rFonts w:ascii="Calibri" w:hAnsi="Calibri" w:cs="Calibri"/>
                <w:sz w:val="22"/>
                <w:szCs w:val="22"/>
              </w:rPr>
            </w:pPr>
            <w:r w:rsidRPr="005472D2">
              <w:rPr>
                <w:rFonts w:ascii="Calibri" w:hAnsi="Calibri" w:cs="Calibri"/>
                <w:sz w:val="22"/>
                <w:szCs w:val="22"/>
              </w:rPr>
              <w:t>September 2012</w:t>
            </w:r>
          </w:p>
        </w:tc>
        <w:tc>
          <w:tcPr>
            <w:tcW w:w="3809" w:type="dxa"/>
          </w:tcPr>
          <w:p w:rsidR="0050412D" w:rsidRPr="005472D2" w:rsidRDefault="0050412D" w:rsidP="005C69A1">
            <w:pPr>
              <w:rPr>
                <w:rFonts w:ascii="Calibri" w:hAnsi="Calibri" w:cs="Calibri"/>
                <w:sz w:val="22"/>
                <w:szCs w:val="22"/>
              </w:rPr>
            </w:pPr>
            <w:r w:rsidRPr="005472D2">
              <w:rPr>
                <w:rFonts w:ascii="Calibri" w:hAnsi="Calibri" w:cs="Calibri"/>
                <w:sz w:val="22"/>
                <w:szCs w:val="22"/>
              </w:rPr>
              <w:t>This will also be linked to other sites i.e. sustainability and equality</w:t>
            </w:r>
          </w:p>
        </w:tc>
      </w:tr>
      <w:tr w:rsidR="0050412D" w:rsidTr="005472D2">
        <w:tc>
          <w:tcPr>
            <w:tcW w:w="13858" w:type="dxa"/>
            <w:gridSpan w:val="5"/>
            <w:shd w:val="clear" w:color="auto" w:fill="BFBFBF"/>
          </w:tcPr>
          <w:p w:rsidR="0050412D" w:rsidRPr="005472D2" w:rsidRDefault="0050412D" w:rsidP="005C69A1">
            <w:pPr>
              <w:rPr>
                <w:b/>
                <w:bCs/>
              </w:rPr>
            </w:pPr>
            <w:r w:rsidRPr="005472D2">
              <w:rPr>
                <w:b/>
                <w:bCs/>
              </w:rPr>
              <w:t>4  Culture Change and gender balance</w:t>
            </w:r>
          </w:p>
        </w:tc>
      </w:tr>
      <w:tr w:rsidR="0050412D" w:rsidTr="005472D2">
        <w:tc>
          <w:tcPr>
            <w:tcW w:w="959" w:type="dxa"/>
          </w:tcPr>
          <w:p w:rsidR="0050412D" w:rsidRPr="005472D2" w:rsidRDefault="0050412D" w:rsidP="005C69A1">
            <w:pPr>
              <w:rPr>
                <w:b/>
                <w:bCs/>
              </w:rPr>
            </w:pPr>
            <w:r w:rsidRPr="005472D2">
              <w:rPr>
                <w:b/>
                <w:bCs/>
              </w:rPr>
              <w:t>4.1</w:t>
            </w:r>
          </w:p>
        </w:tc>
        <w:tc>
          <w:tcPr>
            <w:tcW w:w="5953" w:type="dxa"/>
          </w:tcPr>
          <w:p w:rsidR="0050412D" w:rsidRPr="005472D2" w:rsidRDefault="0050412D" w:rsidP="005A256A">
            <w:pPr>
              <w:rPr>
                <w:rFonts w:ascii="Calibri" w:hAnsi="Calibri" w:cs="Calibri"/>
                <w:bCs/>
                <w:iCs/>
                <w:sz w:val="22"/>
                <w:szCs w:val="22"/>
              </w:rPr>
            </w:pPr>
            <w:r w:rsidRPr="005472D2">
              <w:rPr>
                <w:rFonts w:ascii="Calibri" w:hAnsi="Calibri" w:cs="Calibri"/>
                <w:bCs/>
                <w:iCs/>
                <w:sz w:val="22"/>
                <w:szCs w:val="22"/>
              </w:rPr>
              <w:t>To increase the number of women on University decision making groups and at College and School levels</w:t>
            </w:r>
          </w:p>
          <w:p w:rsidR="0050412D" w:rsidRPr="005472D2" w:rsidRDefault="0050412D" w:rsidP="005472D2">
            <w:pPr>
              <w:pStyle w:val="ListParagraph"/>
              <w:numPr>
                <w:ilvl w:val="0"/>
                <w:numId w:val="5"/>
              </w:numPr>
              <w:rPr>
                <w:rFonts w:ascii="Calibri" w:hAnsi="Calibri" w:cs="Calibri"/>
                <w:bCs/>
                <w:iCs/>
                <w:sz w:val="22"/>
                <w:szCs w:val="22"/>
              </w:rPr>
            </w:pPr>
            <w:r w:rsidRPr="005472D2">
              <w:rPr>
                <w:rFonts w:ascii="Calibri" w:hAnsi="Calibri" w:cs="Calibri"/>
                <w:sz w:val="22"/>
                <w:szCs w:val="22"/>
              </w:rPr>
              <w:t>Monitor female representation on identified committees and task groups on an annual basis</w:t>
            </w:r>
          </w:p>
          <w:p w:rsidR="0050412D" w:rsidRPr="005472D2" w:rsidRDefault="0050412D" w:rsidP="005472D2">
            <w:pPr>
              <w:pStyle w:val="ListParagraph"/>
              <w:numPr>
                <w:ilvl w:val="0"/>
                <w:numId w:val="5"/>
              </w:numPr>
              <w:rPr>
                <w:rFonts w:ascii="Calibri" w:hAnsi="Calibri" w:cs="Calibri"/>
                <w:bCs/>
                <w:iCs/>
                <w:sz w:val="22"/>
                <w:szCs w:val="22"/>
              </w:rPr>
            </w:pPr>
            <w:r w:rsidRPr="005472D2">
              <w:rPr>
                <w:rFonts w:ascii="Calibri" w:hAnsi="Calibri" w:cs="Calibri"/>
                <w:sz w:val="22"/>
                <w:szCs w:val="22"/>
              </w:rPr>
              <w:t xml:space="preserve">Identify process by which to monitor </w:t>
            </w:r>
          </w:p>
        </w:tc>
        <w:tc>
          <w:tcPr>
            <w:tcW w:w="1720"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Executive</w:t>
            </w:r>
          </w:p>
        </w:tc>
        <w:tc>
          <w:tcPr>
            <w:tcW w:w="1417"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June 2012</w:t>
            </w:r>
          </w:p>
        </w:tc>
        <w:tc>
          <w:tcPr>
            <w:tcW w:w="3809" w:type="dxa"/>
          </w:tcPr>
          <w:p w:rsidR="0050412D" w:rsidRPr="005472D2" w:rsidRDefault="0050412D" w:rsidP="005C69A1">
            <w:pPr>
              <w:rPr>
                <w:rFonts w:ascii="Calibri" w:hAnsi="Calibri" w:cs="Calibri"/>
                <w:b/>
                <w:bCs/>
              </w:rPr>
            </w:pPr>
          </w:p>
        </w:tc>
      </w:tr>
      <w:tr w:rsidR="0050412D" w:rsidTr="005472D2">
        <w:tc>
          <w:tcPr>
            <w:tcW w:w="959" w:type="dxa"/>
          </w:tcPr>
          <w:p w:rsidR="0050412D" w:rsidRPr="005472D2" w:rsidRDefault="0050412D" w:rsidP="005C69A1">
            <w:pPr>
              <w:rPr>
                <w:b/>
                <w:bCs/>
              </w:rPr>
            </w:pPr>
            <w:r w:rsidRPr="005472D2">
              <w:rPr>
                <w:b/>
                <w:bCs/>
              </w:rPr>
              <w:t>4.2</w:t>
            </w:r>
          </w:p>
        </w:tc>
        <w:tc>
          <w:tcPr>
            <w:tcW w:w="5953" w:type="dxa"/>
          </w:tcPr>
          <w:p w:rsidR="0050412D" w:rsidRPr="005472D2" w:rsidRDefault="0050412D" w:rsidP="005C69A1">
            <w:pPr>
              <w:rPr>
                <w:rFonts w:ascii="Calibri" w:hAnsi="Calibri" w:cs="Calibri"/>
                <w:bCs/>
                <w:iCs/>
                <w:sz w:val="22"/>
                <w:szCs w:val="22"/>
              </w:rPr>
            </w:pPr>
            <w:r w:rsidRPr="005472D2">
              <w:rPr>
                <w:rFonts w:ascii="Calibri" w:hAnsi="Calibri" w:cs="Calibri"/>
                <w:bCs/>
                <w:iCs/>
                <w:sz w:val="22"/>
                <w:szCs w:val="22"/>
              </w:rPr>
              <w:t>To evaluate the impact of the new senior academic promotions policy and process</w:t>
            </w:r>
          </w:p>
        </w:tc>
        <w:tc>
          <w:tcPr>
            <w:tcW w:w="1720"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Deputy Director HR Operations</w:t>
            </w:r>
          </w:p>
        </w:tc>
        <w:tc>
          <w:tcPr>
            <w:tcW w:w="1417" w:type="dxa"/>
          </w:tcPr>
          <w:p w:rsidR="0050412D" w:rsidRPr="005472D2" w:rsidRDefault="0050412D" w:rsidP="005C69A1">
            <w:pPr>
              <w:rPr>
                <w:rFonts w:ascii="Calibri" w:hAnsi="Calibri" w:cs="Calibri"/>
                <w:sz w:val="22"/>
                <w:szCs w:val="22"/>
              </w:rPr>
            </w:pPr>
            <w:r w:rsidRPr="005472D2">
              <w:rPr>
                <w:rFonts w:ascii="Calibri" w:hAnsi="Calibri" w:cs="Calibri"/>
                <w:sz w:val="22"/>
                <w:szCs w:val="22"/>
              </w:rPr>
              <w:t>March 2013</w:t>
            </w:r>
          </w:p>
        </w:tc>
        <w:tc>
          <w:tcPr>
            <w:tcW w:w="3809" w:type="dxa"/>
          </w:tcPr>
          <w:p w:rsidR="0050412D" w:rsidRPr="005472D2" w:rsidRDefault="0050412D" w:rsidP="005C69A1">
            <w:pPr>
              <w:rPr>
                <w:rFonts w:ascii="Calibri" w:hAnsi="Calibri" w:cs="Calibri"/>
                <w:b/>
                <w:bCs/>
              </w:rPr>
            </w:pPr>
          </w:p>
        </w:tc>
      </w:tr>
      <w:tr w:rsidR="0050412D" w:rsidTr="005472D2">
        <w:tc>
          <w:tcPr>
            <w:tcW w:w="959" w:type="dxa"/>
          </w:tcPr>
          <w:p w:rsidR="0050412D" w:rsidRPr="005472D2" w:rsidRDefault="0050412D" w:rsidP="005C69A1">
            <w:pPr>
              <w:rPr>
                <w:b/>
                <w:bCs/>
              </w:rPr>
            </w:pPr>
            <w:r w:rsidRPr="005472D2">
              <w:rPr>
                <w:b/>
                <w:bCs/>
              </w:rPr>
              <w:t>4.3</w:t>
            </w:r>
          </w:p>
        </w:tc>
        <w:tc>
          <w:tcPr>
            <w:tcW w:w="5953" w:type="dxa"/>
          </w:tcPr>
          <w:p w:rsidR="0050412D" w:rsidRPr="005472D2" w:rsidRDefault="0050412D" w:rsidP="00981B13">
            <w:pPr>
              <w:rPr>
                <w:rFonts w:ascii="Calibri" w:hAnsi="Calibri" w:cs="Calibri"/>
                <w:bCs/>
                <w:iCs/>
                <w:sz w:val="22"/>
                <w:szCs w:val="22"/>
              </w:rPr>
            </w:pPr>
            <w:r w:rsidRPr="005472D2">
              <w:rPr>
                <w:rFonts w:ascii="Calibri" w:hAnsi="Calibri" w:cs="Calibri"/>
                <w:bCs/>
                <w:iCs/>
                <w:sz w:val="22"/>
                <w:szCs w:val="22"/>
              </w:rPr>
              <w:t>To arrange networking events for academics and post-graduates</w:t>
            </w:r>
          </w:p>
        </w:tc>
        <w:tc>
          <w:tcPr>
            <w:tcW w:w="1720"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Staff Development Team</w:t>
            </w:r>
          </w:p>
        </w:tc>
        <w:tc>
          <w:tcPr>
            <w:tcW w:w="1417" w:type="dxa"/>
          </w:tcPr>
          <w:p w:rsidR="0050412D" w:rsidRPr="005472D2" w:rsidRDefault="0050412D" w:rsidP="00EA55A5">
            <w:pPr>
              <w:rPr>
                <w:rFonts w:ascii="Calibri" w:hAnsi="Calibri" w:cs="Calibri"/>
                <w:b/>
                <w:bCs/>
                <w:sz w:val="22"/>
                <w:szCs w:val="22"/>
              </w:rPr>
            </w:pPr>
            <w:r w:rsidRPr="005472D2">
              <w:rPr>
                <w:rFonts w:ascii="Calibri" w:hAnsi="Calibri" w:cs="Calibri"/>
                <w:sz w:val="22"/>
                <w:szCs w:val="22"/>
              </w:rPr>
              <w:t>In 2011/12 hold in December, March and June</w:t>
            </w:r>
          </w:p>
        </w:tc>
        <w:tc>
          <w:tcPr>
            <w:tcW w:w="3809" w:type="dxa"/>
          </w:tcPr>
          <w:p w:rsidR="0050412D" w:rsidRPr="005472D2" w:rsidRDefault="0050412D" w:rsidP="00EA55A5">
            <w:pPr>
              <w:rPr>
                <w:rFonts w:ascii="Calibri" w:hAnsi="Calibri" w:cs="Calibri"/>
              </w:rPr>
            </w:pPr>
            <w:r w:rsidRPr="005472D2">
              <w:rPr>
                <w:rFonts w:ascii="Calibri" w:hAnsi="Calibri" w:cs="Calibri"/>
              </w:rPr>
              <w:t>Speakers identified</w:t>
            </w:r>
          </w:p>
        </w:tc>
      </w:tr>
      <w:tr w:rsidR="0050412D" w:rsidTr="005472D2">
        <w:tc>
          <w:tcPr>
            <w:tcW w:w="959" w:type="dxa"/>
          </w:tcPr>
          <w:p w:rsidR="0050412D" w:rsidRPr="005472D2" w:rsidRDefault="0050412D" w:rsidP="005C69A1">
            <w:pPr>
              <w:rPr>
                <w:b/>
                <w:bCs/>
              </w:rPr>
            </w:pPr>
            <w:r w:rsidRPr="005472D2">
              <w:rPr>
                <w:b/>
                <w:bCs/>
              </w:rPr>
              <w:t>4.4</w:t>
            </w:r>
          </w:p>
        </w:tc>
        <w:tc>
          <w:tcPr>
            <w:tcW w:w="5953" w:type="dxa"/>
          </w:tcPr>
          <w:p w:rsidR="0050412D" w:rsidRPr="005472D2" w:rsidRDefault="0050412D" w:rsidP="005C69A1">
            <w:pPr>
              <w:rPr>
                <w:rFonts w:ascii="Calibri" w:hAnsi="Calibri" w:cs="Calibri"/>
                <w:bCs/>
                <w:iCs/>
                <w:sz w:val="22"/>
                <w:szCs w:val="22"/>
              </w:rPr>
            </w:pPr>
            <w:r w:rsidRPr="005472D2">
              <w:rPr>
                <w:rFonts w:ascii="Calibri" w:hAnsi="Calibri" w:cs="Calibri"/>
                <w:bCs/>
                <w:iCs/>
                <w:sz w:val="22"/>
                <w:szCs w:val="22"/>
              </w:rPr>
              <w:t>To arrange further ‘Women in Science’ events to raise the profile of women in science for staff and students</w:t>
            </w:r>
          </w:p>
        </w:tc>
        <w:tc>
          <w:tcPr>
            <w:tcW w:w="1720"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Athena SWAN Group</w:t>
            </w:r>
          </w:p>
        </w:tc>
        <w:tc>
          <w:tcPr>
            <w:tcW w:w="1417" w:type="dxa"/>
          </w:tcPr>
          <w:p w:rsidR="0050412D" w:rsidRPr="005472D2" w:rsidRDefault="0050412D" w:rsidP="005C69A1">
            <w:pPr>
              <w:rPr>
                <w:rFonts w:ascii="Calibri" w:hAnsi="Calibri" w:cs="Calibri"/>
                <w:sz w:val="22"/>
                <w:szCs w:val="22"/>
              </w:rPr>
            </w:pPr>
            <w:r w:rsidRPr="005472D2">
              <w:rPr>
                <w:rFonts w:ascii="Calibri" w:hAnsi="Calibri" w:cs="Calibri"/>
                <w:sz w:val="22"/>
                <w:szCs w:val="22"/>
              </w:rPr>
              <w:t>March 2013</w:t>
            </w:r>
          </w:p>
        </w:tc>
        <w:tc>
          <w:tcPr>
            <w:tcW w:w="3809" w:type="dxa"/>
          </w:tcPr>
          <w:p w:rsidR="0050412D" w:rsidRPr="005472D2" w:rsidRDefault="0050412D" w:rsidP="005C69A1">
            <w:pPr>
              <w:rPr>
                <w:rFonts w:ascii="Calibri" w:hAnsi="Calibri" w:cs="Calibri"/>
                <w:b/>
                <w:bCs/>
              </w:rPr>
            </w:pPr>
          </w:p>
        </w:tc>
      </w:tr>
      <w:tr w:rsidR="0050412D" w:rsidTr="005472D2">
        <w:tc>
          <w:tcPr>
            <w:tcW w:w="959" w:type="dxa"/>
          </w:tcPr>
          <w:p w:rsidR="0050412D" w:rsidRPr="005472D2" w:rsidRDefault="0050412D" w:rsidP="005C69A1">
            <w:pPr>
              <w:rPr>
                <w:b/>
                <w:bCs/>
              </w:rPr>
            </w:pPr>
            <w:r w:rsidRPr="005472D2">
              <w:rPr>
                <w:b/>
                <w:bCs/>
              </w:rPr>
              <w:t>4.5</w:t>
            </w:r>
          </w:p>
        </w:tc>
        <w:tc>
          <w:tcPr>
            <w:tcW w:w="5953" w:type="dxa"/>
          </w:tcPr>
          <w:p w:rsidR="0050412D" w:rsidRPr="005472D2" w:rsidRDefault="0050412D" w:rsidP="00C959B9">
            <w:pPr>
              <w:rPr>
                <w:rFonts w:ascii="Calibri" w:hAnsi="Calibri" w:cs="Calibri"/>
                <w:bCs/>
                <w:iCs/>
                <w:sz w:val="22"/>
                <w:szCs w:val="22"/>
              </w:rPr>
            </w:pPr>
            <w:r w:rsidRPr="005472D2">
              <w:rPr>
                <w:rFonts w:ascii="Calibri" w:hAnsi="Calibri" w:cs="Calibri"/>
                <w:bCs/>
                <w:iCs/>
                <w:sz w:val="22"/>
                <w:szCs w:val="22"/>
              </w:rPr>
              <w:t>Athena SWAN Group to work with Colleges to work towards further awards</w:t>
            </w:r>
          </w:p>
        </w:tc>
        <w:tc>
          <w:tcPr>
            <w:tcW w:w="1720"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Athena SWAN Group and College Athena SWAN representatives</w:t>
            </w:r>
          </w:p>
        </w:tc>
        <w:tc>
          <w:tcPr>
            <w:tcW w:w="1417" w:type="dxa"/>
          </w:tcPr>
          <w:p w:rsidR="0050412D" w:rsidRPr="005472D2" w:rsidRDefault="0050412D" w:rsidP="005C69A1">
            <w:pPr>
              <w:rPr>
                <w:rFonts w:ascii="Calibri" w:hAnsi="Calibri" w:cs="Calibri"/>
                <w:sz w:val="22"/>
                <w:szCs w:val="22"/>
              </w:rPr>
            </w:pPr>
            <w:r w:rsidRPr="005472D2">
              <w:rPr>
                <w:rFonts w:ascii="Calibri" w:hAnsi="Calibri" w:cs="Calibri"/>
                <w:sz w:val="22"/>
                <w:szCs w:val="22"/>
              </w:rPr>
              <w:t>June 2014</w:t>
            </w:r>
          </w:p>
        </w:tc>
        <w:tc>
          <w:tcPr>
            <w:tcW w:w="3809" w:type="dxa"/>
          </w:tcPr>
          <w:p w:rsidR="0050412D" w:rsidRPr="005472D2" w:rsidRDefault="0050412D" w:rsidP="005C69A1">
            <w:pPr>
              <w:rPr>
                <w:rFonts w:ascii="Calibri" w:hAnsi="Calibri" w:cs="Calibri"/>
                <w:b/>
                <w:bCs/>
              </w:rPr>
            </w:pPr>
          </w:p>
        </w:tc>
      </w:tr>
    </w:tbl>
    <w:p w:rsidR="0050412D" w:rsidRDefault="0050412D">
      <w:r>
        <w:br w:type="page"/>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953"/>
        <w:gridCol w:w="1720"/>
        <w:gridCol w:w="1417"/>
        <w:gridCol w:w="3809"/>
      </w:tblGrid>
      <w:tr w:rsidR="0050412D" w:rsidTr="005472D2">
        <w:tc>
          <w:tcPr>
            <w:tcW w:w="13858" w:type="dxa"/>
            <w:gridSpan w:val="5"/>
            <w:shd w:val="clear" w:color="auto" w:fill="BFBFBF"/>
          </w:tcPr>
          <w:p w:rsidR="0050412D" w:rsidRPr="005472D2" w:rsidRDefault="0050412D" w:rsidP="005C69A1">
            <w:pPr>
              <w:rPr>
                <w:b/>
                <w:bCs/>
              </w:rPr>
            </w:pPr>
            <w:r w:rsidRPr="005472D2">
              <w:rPr>
                <w:b/>
                <w:bCs/>
              </w:rPr>
              <w:t>5  Flexibility and Managing Career Breaks</w:t>
            </w:r>
          </w:p>
        </w:tc>
      </w:tr>
      <w:tr w:rsidR="0050412D" w:rsidTr="005472D2">
        <w:tc>
          <w:tcPr>
            <w:tcW w:w="959" w:type="dxa"/>
          </w:tcPr>
          <w:p w:rsidR="0050412D" w:rsidRPr="005472D2" w:rsidRDefault="0050412D" w:rsidP="005C69A1">
            <w:pPr>
              <w:rPr>
                <w:b/>
                <w:bCs/>
              </w:rPr>
            </w:pPr>
            <w:r w:rsidRPr="005472D2">
              <w:rPr>
                <w:b/>
                <w:bCs/>
              </w:rPr>
              <w:t>5.1</w:t>
            </w:r>
          </w:p>
        </w:tc>
        <w:tc>
          <w:tcPr>
            <w:tcW w:w="5953" w:type="dxa"/>
          </w:tcPr>
          <w:p w:rsidR="0050412D" w:rsidRPr="005472D2" w:rsidRDefault="0050412D" w:rsidP="005C69A1">
            <w:pPr>
              <w:rPr>
                <w:rFonts w:ascii="Calibri" w:hAnsi="Calibri" w:cs="Calibri"/>
                <w:sz w:val="22"/>
                <w:szCs w:val="22"/>
              </w:rPr>
            </w:pPr>
            <w:r w:rsidRPr="005472D2">
              <w:rPr>
                <w:rFonts w:ascii="Calibri" w:hAnsi="Calibri" w:cs="Calibri"/>
                <w:sz w:val="22"/>
                <w:szCs w:val="22"/>
              </w:rPr>
              <w:t>Continue to work with UCU and the Colleges to increase the level of transparency of workload models</w:t>
            </w:r>
          </w:p>
        </w:tc>
        <w:tc>
          <w:tcPr>
            <w:tcW w:w="1720" w:type="dxa"/>
          </w:tcPr>
          <w:p w:rsidR="0050412D" w:rsidRPr="005472D2" w:rsidRDefault="0050412D" w:rsidP="005C69A1">
            <w:pPr>
              <w:rPr>
                <w:rFonts w:ascii="Calibri" w:hAnsi="Calibri" w:cs="Calibri"/>
                <w:sz w:val="22"/>
                <w:szCs w:val="22"/>
              </w:rPr>
            </w:pPr>
            <w:r w:rsidRPr="005472D2">
              <w:rPr>
                <w:rFonts w:ascii="Calibri" w:hAnsi="Calibri" w:cs="Calibri"/>
                <w:sz w:val="22"/>
                <w:szCs w:val="22"/>
              </w:rPr>
              <w:t>HR, Colleges, UCU</w:t>
            </w:r>
          </w:p>
        </w:tc>
        <w:tc>
          <w:tcPr>
            <w:tcW w:w="1417" w:type="dxa"/>
          </w:tcPr>
          <w:p w:rsidR="0050412D" w:rsidRPr="005472D2" w:rsidRDefault="0050412D" w:rsidP="005C69A1">
            <w:pPr>
              <w:rPr>
                <w:rFonts w:ascii="Calibri" w:hAnsi="Calibri" w:cs="Calibri"/>
                <w:b/>
                <w:bCs/>
              </w:rPr>
            </w:pPr>
          </w:p>
        </w:tc>
        <w:tc>
          <w:tcPr>
            <w:tcW w:w="3809" w:type="dxa"/>
          </w:tcPr>
          <w:p w:rsidR="0050412D" w:rsidRPr="005472D2" w:rsidRDefault="0050412D" w:rsidP="005C69A1">
            <w:pPr>
              <w:rPr>
                <w:rFonts w:ascii="Calibri" w:hAnsi="Calibri" w:cs="Calibri"/>
              </w:rPr>
            </w:pPr>
            <w:r w:rsidRPr="005472D2">
              <w:rPr>
                <w:rFonts w:ascii="Calibri" w:hAnsi="Calibri" w:cs="Calibri"/>
              </w:rPr>
              <w:t>Discussions are underway</w:t>
            </w:r>
          </w:p>
        </w:tc>
      </w:tr>
      <w:tr w:rsidR="0050412D" w:rsidTr="005472D2">
        <w:tc>
          <w:tcPr>
            <w:tcW w:w="959" w:type="dxa"/>
          </w:tcPr>
          <w:p w:rsidR="0050412D" w:rsidRPr="005472D2" w:rsidRDefault="0050412D" w:rsidP="005C69A1">
            <w:pPr>
              <w:rPr>
                <w:b/>
                <w:bCs/>
              </w:rPr>
            </w:pPr>
            <w:r w:rsidRPr="005472D2">
              <w:rPr>
                <w:b/>
                <w:bCs/>
              </w:rPr>
              <w:t>5.2</w:t>
            </w:r>
          </w:p>
        </w:tc>
        <w:tc>
          <w:tcPr>
            <w:tcW w:w="5953" w:type="dxa"/>
          </w:tcPr>
          <w:p w:rsidR="0050412D" w:rsidRPr="005472D2" w:rsidRDefault="0050412D" w:rsidP="00870E1E">
            <w:pPr>
              <w:rPr>
                <w:rFonts w:ascii="Calibri" w:hAnsi="Calibri" w:cs="Calibri"/>
                <w:sz w:val="22"/>
                <w:szCs w:val="22"/>
              </w:rPr>
            </w:pPr>
            <w:r w:rsidRPr="005472D2">
              <w:rPr>
                <w:rFonts w:ascii="Calibri" w:hAnsi="Calibri" w:cs="Calibri"/>
                <w:sz w:val="22"/>
                <w:szCs w:val="22"/>
              </w:rPr>
              <w:t>To review within the Athena SWAN Group potential improvements that can be undertaken to support women in this area</w:t>
            </w:r>
          </w:p>
          <w:p w:rsidR="0050412D" w:rsidRPr="005472D2" w:rsidRDefault="0050412D" w:rsidP="005472D2">
            <w:pPr>
              <w:pStyle w:val="ListParagraph"/>
              <w:numPr>
                <w:ilvl w:val="0"/>
                <w:numId w:val="5"/>
              </w:numPr>
              <w:rPr>
                <w:rFonts w:ascii="Calibri" w:hAnsi="Calibri" w:cs="Calibri"/>
                <w:sz w:val="22"/>
                <w:szCs w:val="22"/>
              </w:rPr>
            </w:pPr>
            <w:r w:rsidRPr="005472D2">
              <w:rPr>
                <w:rFonts w:ascii="Calibri" w:hAnsi="Calibri" w:cs="Calibri"/>
                <w:sz w:val="22"/>
                <w:szCs w:val="22"/>
              </w:rPr>
              <w:t xml:space="preserve">Form a sub-group to examine improvements </w:t>
            </w:r>
          </w:p>
        </w:tc>
        <w:tc>
          <w:tcPr>
            <w:tcW w:w="1720"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Athena SWAN Group</w:t>
            </w:r>
          </w:p>
        </w:tc>
        <w:tc>
          <w:tcPr>
            <w:tcW w:w="1417" w:type="dxa"/>
          </w:tcPr>
          <w:p w:rsidR="0050412D" w:rsidRPr="005472D2" w:rsidRDefault="0050412D" w:rsidP="005C69A1">
            <w:pPr>
              <w:rPr>
                <w:rFonts w:ascii="Calibri" w:hAnsi="Calibri" w:cs="Calibri"/>
                <w:sz w:val="20"/>
                <w:szCs w:val="20"/>
              </w:rPr>
            </w:pPr>
            <w:r w:rsidRPr="005472D2">
              <w:rPr>
                <w:rFonts w:ascii="Calibri" w:hAnsi="Calibri" w:cs="Calibri"/>
                <w:sz w:val="20"/>
                <w:szCs w:val="20"/>
              </w:rPr>
              <w:t>December 2012</w:t>
            </w:r>
          </w:p>
        </w:tc>
        <w:tc>
          <w:tcPr>
            <w:tcW w:w="3809" w:type="dxa"/>
          </w:tcPr>
          <w:p w:rsidR="0050412D" w:rsidRPr="005472D2" w:rsidRDefault="0050412D" w:rsidP="005C69A1">
            <w:pPr>
              <w:rPr>
                <w:rFonts w:ascii="Calibri" w:hAnsi="Calibri" w:cs="Calibri"/>
                <w:b/>
                <w:bCs/>
              </w:rPr>
            </w:pPr>
          </w:p>
        </w:tc>
      </w:tr>
    </w:tbl>
    <w:p w:rsidR="0050412D" w:rsidRDefault="0050412D" w:rsidP="00D558E0"/>
    <w:p w:rsidR="0050412D" w:rsidRDefault="0050412D" w:rsidP="00D558E0"/>
    <w:p w:rsidR="0050412D" w:rsidRDefault="0050412D" w:rsidP="00D558E0"/>
    <w:sectPr w:rsidR="0050412D" w:rsidSect="00D558E0">
      <w:pgSz w:w="16838" w:h="11906" w:orient="landscape"/>
      <w:pgMar w:top="851"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521DF"/>
    <w:multiLevelType w:val="hybridMultilevel"/>
    <w:tmpl w:val="7320093E"/>
    <w:lvl w:ilvl="0" w:tplc="4078CA9C">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7732A"/>
    <w:multiLevelType w:val="hybridMultilevel"/>
    <w:tmpl w:val="D99E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9A7929"/>
    <w:multiLevelType w:val="hybridMultilevel"/>
    <w:tmpl w:val="62DC21B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nsid w:val="36E8277F"/>
    <w:multiLevelType w:val="hybridMultilevel"/>
    <w:tmpl w:val="FFD6661E"/>
    <w:lvl w:ilvl="0" w:tplc="4078CA9C">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400A6"/>
    <w:multiLevelType w:val="hybridMultilevel"/>
    <w:tmpl w:val="658636DC"/>
    <w:lvl w:ilvl="0" w:tplc="4078CA9C">
      <w:start w:val="1"/>
      <w:numFmt w:val="bullet"/>
      <w:lvlText w:val="-"/>
      <w:lvlJc w:val="left"/>
      <w:pPr>
        <w:ind w:left="705" w:hanging="360"/>
      </w:pPr>
      <w:rPr>
        <w:rFonts w:ascii="Arial" w:eastAsia="Times New Roman" w:hAnsi="Aria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nsid w:val="733B6529"/>
    <w:multiLevelType w:val="hybridMultilevel"/>
    <w:tmpl w:val="670E1B26"/>
    <w:lvl w:ilvl="0" w:tplc="4078CA9C">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8E0"/>
    <w:rsid w:val="00003202"/>
    <w:rsid w:val="00016D88"/>
    <w:rsid w:val="00033842"/>
    <w:rsid w:val="000444C8"/>
    <w:rsid w:val="00047FF2"/>
    <w:rsid w:val="00070E28"/>
    <w:rsid w:val="00077724"/>
    <w:rsid w:val="00083886"/>
    <w:rsid w:val="00087E01"/>
    <w:rsid w:val="000A1B8F"/>
    <w:rsid w:val="000A7EAB"/>
    <w:rsid w:val="000B3999"/>
    <w:rsid w:val="000C50F6"/>
    <w:rsid w:val="000C553F"/>
    <w:rsid w:val="000E19DD"/>
    <w:rsid w:val="000E6F06"/>
    <w:rsid w:val="001016E4"/>
    <w:rsid w:val="00102D1A"/>
    <w:rsid w:val="00105F1C"/>
    <w:rsid w:val="00110B27"/>
    <w:rsid w:val="001309AB"/>
    <w:rsid w:val="00135DA8"/>
    <w:rsid w:val="001425A7"/>
    <w:rsid w:val="001551D4"/>
    <w:rsid w:val="00163C4E"/>
    <w:rsid w:val="001640CC"/>
    <w:rsid w:val="00167F19"/>
    <w:rsid w:val="001706B8"/>
    <w:rsid w:val="00170F84"/>
    <w:rsid w:val="00172906"/>
    <w:rsid w:val="001747B9"/>
    <w:rsid w:val="001857D0"/>
    <w:rsid w:val="001A2582"/>
    <w:rsid w:val="001A710C"/>
    <w:rsid w:val="001B03D7"/>
    <w:rsid w:val="001C6C30"/>
    <w:rsid w:val="001D1920"/>
    <w:rsid w:val="001E1271"/>
    <w:rsid w:val="001E7497"/>
    <w:rsid w:val="001F5919"/>
    <w:rsid w:val="00214CF6"/>
    <w:rsid w:val="002250BE"/>
    <w:rsid w:val="00230CFA"/>
    <w:rsid w:val="00241971"/>
    <w:rsid w:val="0026380D"/>
    <w:rsid w:val="0027191E"/>
    <w:rsid w:val="00281897"/>
    <w:rsid w:val="00296FD9"/>
    <w:rsid w:val="002B1570"/>
    <w:rsid w:val="002D0700"/>
    <w:rsid w:val="002E59C4"/>
    <w:rsid w:val="002F1161"/>
    <w:rsid w:val="002F6317"/>
    <w:rsid w:val="002F751F"/>
    <w:rsid w:val="00317F9F"/>
    <w:rsid w:val="0033149A"/>
    <w:rsid w:val="00337242"/>
    <w:rsid w:val="00342A5E"/>
    <w:rsid w:val="00353687"/>
    <w:rsid w:val="0038010C"/>
    <w:rsid w:val="0039436E"/>
    <w:rsid w:val="003D4F6E"/>
    <w:rsid w:val="003D58E9"/>
    <w:rsid w:val="003F0295"/>
    <w:rsid w:val="0043004A"/>
    <w:rsid w:val="00453225"/>
    <w:rsid w:val="00454B50"/>
    <w:rsid w:val="00462628"/>
    <w:rsid w:val="00471A5D"/>
    <w:rsid w:val="00475B18"/>
    <w:rsid w:val="004A038B"/>
    <w:rsid w:val="004B45E2"/>
    <w:rsid w:val="004B4B88"/>
    <w:rsid w:val="004D392A"/>
    <w:rsid w:val="004E06E9"/>
    <w:rsid w:val="004E75BC"/>
    <w:rsid w:val="004F295C"/>
    <w:rsid w:val="00503384"/>
    <w:rsid w:val="00504088"/>
    <w:rsid w:val="0050412D"/>
    <w:rsid w:val="005055F1"/>
    <w:rsid w:val="00523A45"/>
    <w:rsid w:val="005472D2"/>
    <w:rsid w:val="005501C9"/>
    <w:rsid w:val="00552096"/>
    <w:rsid w:val="0055257C"/>
    <w:rsid w:val="0058796C"/>
    <w:rsid w:val="005A256A"/>
    <w:rsid w:val="005C6417"/>
    <w:rsid w:val="005C69A1"/>
    <w:rsid w:val="005C71F4"/>
    <w:rsid w:val="005D4105"/>
    <w:rsid w:val="0060010A"/>
    <w:rsid w:val="006030DB"/>
    <w:rsid w:val="00627959"/>
    <w:rsid w:val="00644434"/>
    <w:rsid w:val="00662D31"/>
    <w:rsid w:val="00671F37"/>
    <w:rsid w:val="006871A0"/>
    <w:rsid w:val="006A422E"/>
    <w:rsid w:val="006D2E02"/>
    <w:rsid w:val="006E4377"/>
    <w:rsid w:val="006F202F"/>
    <w:rsid w:val="0075128E"/>
    <w:rsid w:val="00754835"/>
    <w:rsid w:val="00755968"/>
    <w:rsid w:val="007620B3"/>
    <w:rsid w:val="00781BE0"/>
    <w:rsid w:val="00786D36"/>
    <w:rsid w:val="007A0354"/>
    <w:rsid w:val="007B702C"/>
    <w:rsid w:val="007C6901"/>
    <w:rsid w:val="007E0E42"/>
    <w:rsid w:val="007E72CE"/>
    <w:rsid w:val="007F53E6"/>
    <w:rsid w:val="007F552E"/>
    <w:rsid w:val="0081293B"/>
    <w:rsid w:val="00814114"/>
    <w:rsid w:val="00834D8A"/>
    <w:rsid w:val="00837585"/>
    <w:rsid w:val="008553FE"/>
    <w:rsid w:val="00870E1E"/>
    <w:rsid w:val="0088231C"/>
    <w:rsid w:val="008A5850"/>
    <w:rsid w:val="008B2C2E"/>
    <w:rsid w:val="008B314C"/>
    <w:rsid w:val="008C0D4D"/>
    <w:rsid w:val="008C3EC1"/>
    <w:rsid w:val="008C55EA"/>
    <w:rsid w:val="008D4A68"/>
    <w:rsid w:val="008D6F75"/>
    <w:rsid w:val="008F03C8"/>
    <w:rsid w:val="008F112F"/>
    <w:rsid w:val="00912930"/>
    <w:rsid w:val="00913EDB"/>
    <w:rsid w:val="00922CAA"/>
    <w:rsid w:val="0094391C"/>
    <w:rsid w:val="00953702"/>
    <w:rsid w:val="00967659"/>
    <w:rsid w:val="0096798B"/>
    <w:rsid w:val="00981B13"/>
    <w:rsid w:val="00985FA6"/>
    <w:rsid w:val="009D0804"/>
    <w:rsid w:val="009D42B0"/>
    <w:rsid w:val="009F231B"/>
    <w:rsid w:val="009F5662"/>
    <w:rsid w:val="009F61AD"/>
    <w:rsid w:val="00A0251F"/>
    <w:rsid w:val="00A05380"/>
    <w:rsid w:val="00A05EB5"/>
    <w:rsid w:val="00A07771"/>
    <w:rsid w:val="00A10B94"/>
    <w:rsid w:val="00A15F4F"/>
    <w:rsid w:val="00A22468"/>
    <w:rsid w:val="00A25A1F"/>
    <w:rsid w:val="00A31808"/>
    <w:rsid w:val="00A46ECE"/>
    <w:rsid w:val="00A53C0F"/>
    <w:rsid w:val="00A71147"/>
    <w:rsid w:val="00A91A97"/>
    <w:rsid w:val="00AA6441"/>
    <w:rsid w:val="00AB282C"/>
    <w:rsid w:val="00AD1B77"/>
    <w:rsid w:val="00AE1A54"/>
    <w:rsid w:val="00AF310E"/>
    <w:rsid w:val="00AF4D8B"/>
    <w:rsid w:val="00B0464C"/>
    <w:rsid w:val="00B178A1"/>
    <w:rsid w:val="00B231B7"/>
    <w:rsid w:val="00B25A9F"/>
    <w:rsid w:val="00B37CF0"/>
    <w:rsid w:val="00B42F03"/>
    <w:rsid w:val="00B47453"/>
    <w:rsid w:val="00B573BE"/>
    <w:rsid w:val="00B6490E"/>
    <w:rsid w:val="00BB55F0"/>
    <w:rsid w:val="00BB77C8"/>
    <w:rsid w:val="00BE2306"/>
    <w:rsid w:val="00BE60CA"/>
    <w:rsid w:val="00C14756"/>
    <w:rsid w:val="00C41DD9"/>
    <w:rsid w:val="00C4363D"/>
    <w:rsid w:val="00C43DD4"/>
    <w:rsid w:val="00C45823"/>
    <w:rsid w:val="00C51AD5"/>
    <w:rsid w:val="00C62498"/>
    <w:rsid w:val="00C72836"/>
    <w:rsid w:val="00C771BC"/>
    <w:rsid w:val="00C804CC"/>
    <w:rsid w:val="00C959B9"/>
    <w:rsid w:val="00CB09CC"/>
    <w:rsid w:val="00CB5EDA"/>
    <w:rsid w:val="00CB6192"/>
    <w:rsid w:val="00CB64AC"/>
    <w:rsid w:val="00CC11F1"/>
    <w:rsid w:val="00CC6540"/>
    <w:rsid w:val="00CD4254"/>
    <w:rsid w:val="00CE434F"/>
    <w:rsid w:val="00CF0DAD"/>
    <w:rsid w:val="00CF79D1"/>
    <w:rsid w:val="00D044A6"/>
    <w:rsid w:val="00D05898"/>
    <w:rsid w:val="00D07314"/>
    <w:rsid w:val="00D232E6"/>
    <w:rsid w:val="00D300BE"/>
    <w:rsid w:val="00D305D1"/>
    <w:rsid w:val="00D40E4A"/>
    <w:rsid w:val="00D41499"/>
    <w:rsid w:val="00D459FD"/>
    <w:rsid w:val="00D553D7"/>
    <w:rsid w:val="00D558E0"/>
    <w:rsid w:val="00D573A3"/>
    <w:rsid w:val="00D80E6F"/>
    <w:rsid w:val="00D83C8E"/>
    <w:rsid w:val="00D865CC"/>
    <w:rsid w:val="00D96D04"/>
    <w:rsid w:val="00DA0F36"/>
    <w:rsid w:val="00DA48A9"/>
    <w:rsid w:val="00DA6450"/>
    <w:rsid w:val="00DA7A7B"/>
    <w:rsid w:val="00DD1A33"/>
    <w:rsid w:val="00DD4872"/>
    <w:rsid w:val="00E22B75"/>
    <w:rsid w:val="00E35306"/>
    <w:rsid w:val="00E374F4"/>
    <w:rsid w:val="00E44BB1"/>
    <w:rsid w:val="00E469EF"/>
    <w:rsid w:val="00E51991"/>
    <w:rsid w:val="00E66DE8"/>
    <w:rsid w:val="00E739C3"/>
    <w:rsid w:val="00E834BF"/>
    <w:rsid w:val="00E834FD"/>
    <w:rsid w:val="00E94461"/>
    <w:rsid w:val="00EA484E"/>
    <w:rsid w:val="00EA540B"/>
    <w:rsid w:val="00EA55A5"/>
    <w:rsid w:val="00EB44F6"/>
    <w:rsid w:val="00EB792B"/>
    <w:rsid w:val="00EE7095"/>
    <w:rsid w:val="00F00144"/>
    <w:rsid w:val="00F324DF"/>
    <w:rsid w:val="00F357F8"/>
    <w:rsid w:val="00F37C4E"/>
    <w:rsid w:val="00F45BB2"/>
    <w:rsid w:val="00F516F6"/>
    <w:rsid w:val="00F602D5"/>
    <w:rsid w:val="00F60600"/>
    <w:rsid w:val="00F63714"/>
    <w:rsid w:val="00F63F5F"/>
    <w:rsid w:val="00F9007A"/>
    <w:rsid w:val="00F97485"/>
    <w:rsid w:val="00FA05F6"/>
    <w:rsid w:val="00FA391C"/>
    <w:rsid w:val="00FB17B0"/>
    <w:rsid w:val="00FB6C04"/>
    <w:rsid w:val="00FE42CD"/>
    <w:rsid w:val="00FE644B"/>
    <w:rsid w:val="00FF0D9B"/>
    <w:rsid w:val="00FF1A2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02"/>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558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5C69A1"/>
    <w:rPr>
      <w:rFonts w:ascii="Tahoma" w:hAnsi="Tahoma" w:cs="Tahoma"/>
      <w:sz w:val="16"/>
      <w:szCs w:val="16"/>
    </w:rPr>
  </w:style>
  <w:style w:type="character" w:customStyle="1" w:styleId="BalloonTextChar">
    <w:name w:val="Balloon Text Char"/>
    <w:basedOn w:val="DefaultParagraphFont"/>
    <w:link w:val="BalloonText"/>
    <w:uiPriority w:val="99"/>
    <w:locked/>
    <w:rsid w:val="005C69A1"/>
    <w:rPr>
      <w:rFonts w:ascii="Tahoma" w:hAnsi="Tahoma" w:cs="Tahoma"/>
      <w:sz w:val="16"/>
      <w:szCs w:val="16"/>
    </w:rPr>
  </w:style>
  <w:style w:type="paragraph" w:styleId="ListParagraph">
    <w:name w:val="List Paragraph"/>
    <w:basedOn w:val="Normal"/>
    <w:uiPriority w:val="99"/>
    <w:qFormat/>
    <w:rsid w:val="00F357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622</Words>
  <Characters>3548</Characters>
  <Application>Microsoft Office Outlook</Application>
  <DocSecurity>0</DocSecurity>
  <Lines>0</Lines>
  <Paragraphs>0</Paragraphs>
  <ScaleCrop>false</ScaleCrop>
  <Company>Pryfysgol Bangor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CYNLLUN GWEITHREDU ATHENA SWAN 2011 – 2014  ATHENA SWAN ACTION PLAN </dc:title>
  <dc:subject/>
  <dc:creator>pos203</dc:creator>
  <cp:keywords/>
  <dc:description/>
  <cp:lastModifiedBy>pos004</cp:lastModifiedBy>
  <cp:revision>2</cp:revision>
  <cp:lastPrinted>2011-11-30T14:07:00Z</cp:lastPrinted>
  <dcterms:created xsi:type="dcterms:W3CDTF">2011-12-15T15:25:00Z</dcterms:created>
  <dcterms:modified xsi:type="dcterms:W3CDTF">2011-12-15T15:25:00Z</dcterms:modified>
</cp:coreProperties>
</file>