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D7B42" w14:textId="77777777" w:rsidR="00307812" w:rsidRDefault="00307812" w:rsidP="00307812">
      <w:pPr>
        <w:spacing w:line="260" w:lineRule="exact"/>
        <w:rPr>
          <w:sz w:val="26"/>
          <w:szCs w:val="26"/>
        </w:rPr>
      </w:pPr>
      <w:bookmarkStart w:id="0" w:name="_GoBack"/>
      <w:bookmarkEnd w:id="0"/>
    </w:p>
    <w:p w14:paraId="5E4E5908" w14:textId="77777777" w:rsidR="00307812" w:rsidRDefault="00307812" w:rsidP="00307812">
      <w:pPr>
        <w:ind w:left="2145" w:right="8520"/>
        <w:rPr>
          <w:rFonts w:ascii="Times New Roman" w:eastAsia="Times New Roman" w:hAnsi="Times New Roman" w:cs="Times New Roman"/>
          <w:sz w:val="20"/>
        </w:rPr>
      </w:pPr>
      <w:r>
        <w:rPr>
          <w:noProof/>
          <w:lang w:eastAsia="en-GB"/>
        </w:rPr>
        <w:drawing>
          <wp:inline distT="0" distB="0" distL="0" distR="0" wp14:anchorId="26D3B7FD" wp14:editId="23463935">
            <wp:extent cx="315277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2543175"/>
                    </a:xfrm>
                    <a:prstGeom prst="rect">
                      <a:avLst/>
                    </a:prstGeom>
                    <a:noFill/>
                    <a:ln>
                      <a:noFill/>
                    </a:ln>
                  </pic:spPr>
                </pic:pic>
              </a:graphicData>
            </a:graphic>
          </wp:inline>
        </w:drawing>
      </w:r>
    </w:p>
    <w:p w14:paraId="7EBA81BC" w14:textId="77777777" w:rsidR="00307812" w:rsidRDefault="00307812" w:rsidP="00307812">
      <w:pPr>
        <w:spacing w:line="200" w:lineRule="exact"/>
        <w:rPr>
          <w:sz w:val="20"/>
        </w:rPr>
      </w:pPr>
    </w:p>
    <w:p w14:paraId="541016D6" w14:textId="77777777" w:rsidR="00307812" w:rsidRDefault="00307812" w:rsidP="00307812">
      <w:pPr>
        <w:spacing w:line="200" w:lineRule="exact"/>
        <w:rPr>
          <w:sz w:val="20"/>
        </w:rPr>
      </w:pPr>
    </w:p>
    <w:p w14:paraId="0848EE3B" w14:textId="77777777" w:rsidR="00307812" w:rsidRDefault="00307812" w:rsidP="00307812">
      <w:pPr>
        <w:spacing w:line="200" w:lineRule="exact"/>
        <w:rPr>
          <w:sz w:val="20"/>
        </w:rPr>
      </w:pPr>
    </w:p>
    <w:p w14:paraId="70E802C8" w14:textId="77777777" w:rsidR="00307812" w:rsidRDefault="00307812" w:rsidP="00307812">
      <w:pPr>
        <w:spacing w:line="200" w:lineRule="exact"/>
        <w:rPr>
          <w:sz w:val="20"/>
        </w:rPr>
      </w:pPr>
    </w:p>
    <w:p w14:paraId="0FBF9916" w14:textId="77777777" w:rsidR="00307812" w:rsidRDefault="00307812" w:rsidP="00307812">
      <w:pPr>
        <w:spacing w:line="200" w:lineRule="exact"/>
        <w:rPr>
          <w:sz w:val="20"/>
        </w:rPr>
      </w:pPr>
    </w:p>
    <w:p w14:paraId="4460A028" w14:textId="77777777" w:rsidR="00307812" w:rsidRDefault="00307812" w:rsidP="00307812">
      <w:pPr>
        <w:spacing w:before="4" w:line="220" w:lineRule="exact"/>
      </w:pPr>
    </w:p>
    <w:tbl>
      <w:tblPr>
        <w:tblW w:w="0" w:type="auto"/>
        <w:tblInd w:w="119" w:type="dxa"/>
        <w:tblLayout w:type="fixed"/>
        <w:tblCellMar>
          <w:left w:w="0" w:type="dxa"/>
          <w:right w:w="0" w:type="dxa"/>
        </w:tblCellMar>
        <w:tblLook w:val="01E0" w:firstRow="1" w:lastRow="1" w:firstColumn="1" w:lastColumn="1" w:noHBand="0" w:noVBand="0"/>
      </w:tblPr>
      <w:tblGrid>
        <w:gridCol w:w="2439"/>
        <w:gridCol w:w="5852"/>
      </w:tblGrid>
      <w:tr w:rsidR="00307812" w14:paraId="2176C194" w14:textId="77777777" w:rsidTr="00307812">
        <w:trPr>
          <w:trHeight w:hRule="exact" w:val="960"/>
        </w:trPr>
        <w:tc>
          <w:tcPr>
            <w:tcW w:w="2439" w:type="dxa"/>
            <w:tcBorders>
              <w:top w:val="single" w:sz="5" w:space="0" w:color="000000"/>
              <w:left w:val="single" w:sz="5" w:space="0" w:color="000000"/>
              <w:bottom w:val="single" w:sz="5" w:space="0" w:color="000000"/>
              <w:right w:val="single" w:sz="5" w:space="0" w:color="000000"/>
            </w:tcBorders>
            <w:vAlign w:val="center"/>
          </w:tcPr>
          <w:p w14:paraId="49ECFD17" w14:textId="3608F084" w:rsidR="00307812" w:rsidRDefault="00307812" w:rsidP="00D943D5">
            <w:pPr>
              <w:pStyle w:val="TableParagraph"/>
              <w:ind w:left="102"/>
              <w:rPr>
                <w:rFonts w:ascii="Arial" w:eastAsia="Arial" w:hAnsi="Arial" w:cs="Arial"/>
                <w:sz w:val="24"/>
                <w:szCs w:val="24"/>
              </w:rPr>
            </w:pPr>
            <w:r>
              <w:rPr>
                <w:rFonts w:ascii="Arial" w:eastAsia="Arial" w:hAnsi="Arial" w:cs="Arial"/>
                <w:sz w:val="24"/>
                <w:szCs w:val="24"/>
              </w:rPr>
              <w:t>Procedure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itle</w:t>
            </w:r>
          </w:p>
        </w:tc>
        <w:tc>
          <w:tcPr>
            <w:tcW w:w="5852" w:type="dxa"/>
            <w:tcBorders>
              <w:top w:val="single" w:sz="5" w:space="0" w:color="000000"/>
              <w:left w:val="single" w:sz="5" w:space="0" w:color="000000"/>
              <w:bottom w:val="single" w:sz="5" w:space="0" w:color="000000"/>
              <w:right w:val="single" w:sz="5" w:space="0" w:color="000000"/>
            </w:tcBorders>
            <w:vAlign w:val="center"/>
          </w:tcPr>
          <w:p w14:paraId="23B63E0A" w14:textId="765C550F" w:rsidR="00307812" w:rsidRPr="00307812" w:rsidRDefault="00307812" w:rsidP="00D943D5">
            <w:pPr>
              <w:spacing w:after="0"/>
              <w:ind w:left="142" w:right="182"/>
              <w:rPr>
                <w:rFonts w:ascii="Arial" w:eastAsia="Arial" w:hAnsi="Arial" w:cs="Arial"/>
                <w:sz w:val="24"/>
                <w:szCs w:val="24"/>
              </w:rPr>
            </w:pPr>
            <w:r w:rsidRPr="00307812">
              <w:rPr>
                <w:rFonts w:ascii="Arial" w:hAnsi="Arial" w:cs="Arial"/>
                <w:sz w:val="24"/>
                <w:szCs w:val="24"/>
              </w:rPr>
              <w:t>Guidelines for staff preparing applications for Research Grants and other externally funded proposals</w:t>
            </w:r>
          </w:p>
        </w:tc>
      </w:tr>
      <w:tr w:rsidR="00307812" w14:paraId="14E02010" w14:textId="77777777" w:rsidTr="00D943D5">
        <w:trPr>
          <w:trHeight w:hRule="exact" w:val="490"/>
        </w:trPr>
        <w:tc>
          <w:tcPr>
            <w:tcW w:w="2439" w:type="dxa"/>
            <w:tcBorders>
              <w:top w:val="single" w:sz="5" w:space="0" w:color="000000"/>
              <w:left w:val="single" w:sz="5" w:space="0" w:color="000000"/>
              <w:bottom w:val="single" w:sz="5" w:space="0" w:color="000000"/>
              <w:right w:val="single" w:sz="5" w:space="0" w:color="000000"/>
            </w:tcBorders>
            <w:vAlign w:val="center"/>
          </w:tcPr>
          <w:p w14:paraId="63ED0A3A" w14:textId="77777777" w:rsidR="00307812" w:rsidRDefault="00307812" w:rsidP="00D943D5">
            <w:pPr>
              <w:pStyle w:val="TableParagraph"/>
              <w:ind w:left="102"/>
              <w:rPr>
                <w:rFonts w:ascii="Arial" w:eastAsia="Arial" w:hAnsi="Arial" w:cs="Arial"/>
                <w:sz w:val="24"/>
                <w:szCs w:val="24"/>
              </w:rPr>
            </w:pPr>
            <w:r>
              <w:rPr>
                <w:rFonts w:ascii="Arial" w:eastAsia="Arial" w:hAnsi="Arial" w:cs="Arial"/>
                <w:sz w:val="24"/>
                <w:szCs w:val="24"/>
              </w:rPr>
              <w:t>Appro</w:t>
            </w:r>
            <w:r>
              <w:rPr>
                <w:rFonts w:ascii="Arial" w:eastAsia="Arial" w:hAnsi="Arial" w:cs="Arial"/>
                <w:spacing w:val="-3"/>
                <w:sz w:val="24"/>
                <w:szCs w:val="24"/>
              </w:rPr>
              <w:t>v</w:t>
            </w:r>
            <w:r>
              <w:rPr>
                <w:rFonts w:ascii="Arial" w:eastAsia="Arial" w:hAnsi="Arial" w:cs="Arial"/>
                <w:sz w:val="24"/>
                <w:szCs w:val="24"/>
              </w:rPr>
              <w:t>al Date</w:t>
            </w:r>
          </w:p>
        </w:tc>
        <w:tc>
          <w:tcPr>
            <w:tcW w:w="5852" w:type="dxa"/>
            <w:tcBorders>
              <w:top w:val="single" w:sz="5" w:space="0" w:color="000000"/>
              <w:left w:val="single" w:sz="5" w:space="0" w:color="000000"/>
              <w:bottom w:val="single" w:sz="5" w:space="0" w:color="000000"/>
              <w:right w:val="single" w:sz="5" w:space="0" w:color="000000"/>
            </w:tcBorders>
            <w:vAlign w:val="center"/>
          </w:tcPr>
          <w:p w14:paraId="17AE4D82" w14:textId="002B023A" w:rsidR="00307812" w:rsidRDefault="006C6D05" w:rsidP="00D943D5">
            <w:pPr>
              <w:pStyle w:val="TableParagraph"/>
              <w:ind w:left="142" w:right="182"/>
              <w:rPr>
                <w:rFonts w:ascii="Arial" w:eastAsia="Arial" w:hAnsi="Arial" w:cs="Arial"/>
                <w:sz w:val="24"/>
                <w:szCs w:val="24"/>
              </w:rPr>
            </w:pPr>
            <w:r>
              <w:rPr>
                <w:rFonts w:ascii="Arial" w:eastAsia="Arial" w:hAnsi="Arial" w:cs="Arial"/>
                <w:sz w:val="24"/>
                <w:szCs w:val="24"/>
              </w:rPr>
              <w:t>05 April</w:t>
            </w:r>
            <w:r w:rsidR="00307812">
              <w:rPr>
                <w:rFonts w:ascii="Arial" w:eastAsia="Arial" w:hAnsi="Arial" w:cs="Arial"/>
                <w:spacing w:val="-3"/>
                <w:sz w:val="24"/>
                <w:szCs w:val="24"/>
              </w:rPr>
              <w:t xml:space="preserve"> </w:t>
            </w:r>
            <w:r w:rsidR="00307812">
              <w:rPr>
                <w:rFonts w:ascii="Arial" w:eastAsia="Arial" w:hAnsi="Arial" w:cs="Arial"/>
                <w:spacing w:val="1"/>
                <w:sz w:val="24"/>
                <w:szCs w:val="24"/>
              </w:rPr>
              <w:t>2</w:t>
            </w:r>
            <w:r w:rsidR="00307812">
              <w:rPr>
                <w:rFonts w:ascii="Arial" w:eastAsia="Arial" w:hAnsi="Arial" w:cs="Arial"/>
                <w:spacing w:val="-2"/>
                <w:sz w:val="24"/>
                <w:szCs w:val="24"/>
              </w:rPr>
              <w:t>0</w:t>
            </w:r>
            <w:r w:rsidR="00307812">
              <w:rPr>
                <w:rFonts w:ascii="Arial" w:eastAsia="Arial" w:hAnsi="Arial" w:cs="Arial"/>
                <w:sz w:val="24"/>
                <w:szCs w:val="24"/>
              </w:rPr>
              <w:t>17</w:t>
            </w:r>
          </w:p>
        </w:tc>
      </w:tr>
      <w:tr w:rsidR="00307812" w14:paraId="3686AD82" w14:textId="77777777" w:rsidTr="00D943D5">
        <w:trPr>
          <w:trHeight w:hRule="exact" w:val="490"/>
        </w:trPr>
        <w:tc>
          <w:tcPr>
            <w:tcW w:w="2439" w:type="dxa"/>
            <w:tcBorders>
              <w:top w:val="single" w:sz="5" w:space="0" w:color="000000"/>
              <w:left w:val="single" w:sz="5" w:space="0" w:color="000000"/>
              <w:bottom w:val="single" w:sz="5" w:space="0" w:color="000000"/>
              <w:right w:val="single" w:sz="5" w:space="0" w:color="000000"/>
            </w:tcBorders>
            <w:vAlign w:val="center"/>
          </w:tcPr>
          <w:p w14:paraId="753AC340" w14:textId="77777777" w:rsidR="00307812" w:rsidRDefault="00307812" w:rsidP="00D943D5">
            <w:pPr>
              <w:pStyle w:val="TableParagraph"/>
              <w:ind w:left="102"/>
              <w:rPr>
                <w:rFonts w:ascii="Arial" w:eastAsia="Arial" w:hAnsi="Arial" w:cs="Arial"/>
                <w:sz w:val="24"/>
                <w:szCs w:val="24"/>
              </w:rPr>
            </w:pPr>
            <w:r>
              <w:rPr>
                <w:rFonts w:ascii="Arial" w:eastAsia="Arial" w:hAnsi="Arial" w:cs="Arial"/>
                <w:sz w:val="24"/>
                <w:szCs w:val="24"/>
              </w:rPr>
              <w:t>Appro</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Body</w:t>
            </w:r>
          </w:p>
        </w:tc>
        <w:tc>
          <w:tcPr>
            <w:tcW w:w="5852" w:type="dxa"/>
            <w:tcBorders>
              <w:top w:val="single" w:sz="5" w:space="0" w:color="000000"/>
              <w:left w:val="single" w:sz="5" w:space="0" w:color="000000"/>
              <w:bottom w:val="single" w:sz="5" w:space="0" w:color="000000"/>
              <w:right w:val="single" w:sz="5" w:space="0" w:color="000000"/>
            </w:tcBorders>
            <w:vAlign w:val="center"/>
          </w:tcPr>
          <w:p w14:paraId="6A616C5A" w14:textId="77777777" w:rsidR="00307812" w:rsidRDefault="00307812" w:rsidP="00D943D5">
            <w:pPr>
              <w:pStyle w:val="TableParagraph"/>
              <w:ind w:left="142" w:right="182"/>
              <w:rPr>
                <w:rFonts w:ascii="Arial" w:eastAsia="Arial" w:hAnsi="Arial" w:cs="Arial"/>
                <w:sz w:val="24"/>
                <w:szCs w:val="24"/>
              </w:rPr>
            </w:pPr>
            <w:r>
              <w:rPr>
                <w:rFonts w:ascii="Arial" w:eastAsia="Arial" w:hAnsi="Arial" w:cs="Arial"/>
                <w:sz w:val="24"/>
                <w:szCs w:val="24"/>
              </w:rPr>
              <w:t>Research Strategy Task Group</w:t>
            </w:r>
          </w:p>
        </w:tc>
      </w:tr>
      <w:tr w:rsidR="00307812" w14:paraId="5F84E945" w14:textId="77777777" w:rsidTr="00D943D5">
        <w:trPr>
          <w:trHeight w:hRule="exact" w:val="490"/>
        </w:trPr>
        <w:tc>
          <w:tcPr>
            <w:tcW w:w="2439" w:type="dxa"/>
            <w:tcBorders>
              <w:top w:val="single" w:sz="5" w:space="0" w:color="000000"/>
              <w:left w:val="single" w:sz="5" w:space="0" w:color="000000"/>
              <w:bottom w:val="single" w:sz="5" w:space="0" w:color="000000"/>
              <w:right w:val="single" w:sz="5" w:space="0" w:color="000000"/>
            </w:tcBorders>
            <w:vAlign w:val="center"/>
          </w:tcPr>
          <w:p w14:paraId="67BB34E2" w14:textId="77777777" w:rsidR="00307812" w:rsidRDefault="00307812" w:rsidP="00D943D5">
            <w:pPr>
              <w:pStyle w:val="TableParagraph"/>
              <w:ind w:left="102"/>
              <w:rPr>
                <w:rFonts w:ascii="Arial" w:eastAsia="Arial" w:hAnsi="Arial" w:cs="Arial"/>
                <w:sz w:val="24"/>
                <w:szCs w:val="24"/>
              </w:rPr>
            </w:pPr>
            <w:r>
              <w:rPr>
                <w:rFonts w:ascii="Arial" w:eastAsia="Arial" w:hAnsi="Arial" w:cs="Arial"/>
                <w:sz w:val="24"/>
                <w:szCs w:val="24"/>
              </w:rPr>
              <w:t>Vers</w:t>
            </w:r>
            <w:r>
              <w:rPr>
                <w:rFonts w:ascii="Arial" w:eastAsia="Arial" w:hAnsi="Arial" w:cs="Arial"/>
                <w:spacing w:val="-2"/>
                <w:sz w:val="24"/>
                <w:szCs w:val="24"/>
              </w:rPr>
              <w:t>i</w:t>
            </w:r>
            <w:r>
              <w:rPr>
                <w:rFonts w:ascii="Arial" w:eastAsia="Arial" w:hAnsi="Arial" w:cs="Arial"/>
                <w:sz w:val="24"/>
                <w:szCs w:val="24"/>
              </w:rPr>
              <w:t>on</w:t>
            </w:r>
          </w:p>
        </w:tc>
        <w:tc>
          <w:tcPr>
            <w:tcW w:w="5852" w:type="dxa"/>
            <w:tcBorders>
              <w:top w:val="single" w:sz="5" w:space="0" w:color="000000"/>
              <w:left w:val="single" w:sz="5" w:space="0" w:color="000000"/>
              <w:bottom w:val="single" w:sz="5" w:space="0" w:color="000000"/>
              <w:right w:val="single" w:sz="5" w:space="0" w:color="000000"/>
            </w:tcBorders>
            <w:vAlign w:val="center"/>
          </w:tcPr>
          <w:p w14:paraId="13E8A815" w14:textId="77777777" w:rsidR="00307812" w:rsidRDefault="00307812" w:rsidP="00D943D5">
            <w:pPr>
              <w:pStyle w:val="TableParagraph"/>
              <w:ind w:left="142" w:right="182"/>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z w:val="24"/>
                <w:szCs w:val="24"/>
              </w:rPr>
              <w:t>nal –</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1.0</w:t>
            </w:r>
          </w:p>
        </w:tc>
      </w:tr>
      <w:tr w:rsidR="00307812" w14:paraId="3861DF3B" w14:textId="77777777" w:rsidTr="00D943D5">
        <w:trPr>
          <w:trHeight w:hRule="exact" w:val="490"/>
        </w:trPr>
        <w:tc>
          <w:tcPr>
            <w:tcW w:w="2439" w:type="dxa"/>
            <w:tcBorders>
              <w:top w:val="single" w:sz="5" w:space="0" w:color="000000"/>
              <w:left w:val="single" w:sz="5" w:space="0" w:color="000000"/>
              <w:bottom w:val="single" w:sz="5" w:space="0" w:color="000000"/>
              <w:right w:val="single" w:sz="5" w:space="0" w:color="000000"/>
            </w:tcBorders>
            <w:vAlign w:val="center"/>
          </w:tcPr>
          <w:p w14:paraId="08F5EC63" w14:textId="77777777" w:rsidR="00307812" w:rsidRDefault="00307812" w:rsidP="00D943D5">
            <w:pPr>
              <w:pStyle w:val="TableParagraph"/>
              <w:ind w:left="102"/>
              <w:rPr>
                <w:rFonts w:ascii="Arial" w:eastAsia="Arial" w:hAnsi="Arial" w:cs="Arial"/>
                <w:sz w:val="24"/>
                <w:szCs w:val="24"/>
              </w:rPr>
            </w:pPr>
            <w:r>
              <w:rPr>
                <w:rFonts w:ascii="Arial" w:eastAsia="Arial" w:hAnsi="Arial" w:cs="Arial"/>
                <w:sz w:val="24"/>
                <w:szCs w:val="24"/>
              </w:rPr>
              <w:t>Super</w:t>
            </w:r>
            <w:r>
              <w:rPr>
                <w:rFonts w:ascii="Arial" w:eastAsia="Arial" w:hAnsi="Arial" w:cs="Arial"/>
                <w:spacing w:val="-4"/>
                <w:sz w:val="24"/>
                <w:szCs w:val="24"/>
              </w:rPr>
              <w:t>s</w:t>
            </w:r>
            <w:r>
              <w:rPr>
                <w:rFonts w:ascii="Arial" w:eastAsia="Arial" w:hAnsi="Arial" w:cs="Arial"/>
                <w:sz w:val="24"/>
                <w:szCs w:val="24"/>
              </w:rPr>
              <w:t>edes</w:t>
            </w:r>
          </w:p>
        </w:tc>
        <w:tc>
          <w:tcPr>
            <w:tcW w:w="5852" w:type="dxa"/>
            <w:tcBorders>
              <w:top w:val="single" w:sz="5" w:space="0" w:color="000000"/>
              <w:left w:val="single" w:sz="5" w:space="0" w:color="000000"/>
              <w:bottom w:val="single" w:sz="5" w:space="0" w:color="000000"/>
              <w:right w:val="single" w:sz="5" w:space="0" w:color="000000"/>
            </w:tcBorders>
            <w:vAlign w:val="center"/>
          </w:tcPr>
          <w:p w14:paraId="5D7A5027" w14:textId="77777777" w:rsidR="00307812" w:rsidRDefault="00307812" w:rsidP="00D943D5">
            <w:pPr>
              <w:pStyle w:val="TableParagraph"/>
              <w:ind w:left="142" w:right="182"/>
              <w:rPr>
                <w:rFonts w:ascii="Arial" w:eastAsia="Arial" w:hAnsi="Arial" w:cs="Arial"/>
                <w:sz w:val="24"/>
                <w:szCs w:val="24"/>
              </w:rPr>
            </w:pPr>
            <w:r>
              <w:rPr>
                <w:rFonts w:ascii="Arial" w:eastAsia="Arial" w:hAnsi="Arial" w:cs="Arial"/>
                <w:sz w:val="24"/>
                <w:szCs w:val="24"/>
              </w:rPr>
              <w:t>N/A</w:t>
            </w:r>
          </w:p>
        </w:tc>
      </w:tr>
      <w:tr w:rsidR="00307812" w14:paraId="558FC4B8" w14:textId="77777777" w:rsidTr="00D943D5">
        <w:trPr>
          <w:trHeight w:hRule="exact" w:val="531"/>
        </w:trPr>
        <w:tc>
          <w:tcPr>
            <w:tcW w:w="2439" w:type="dxa"/>
            <w:tcBorders>
              <w:top w:val="single" w:sz="5" w:space="0" w:color="000000"/>
              <w:left w:val="single" w:sz="5" w:space="0" w:color="000000"/>
              <w:bottom w:val="single" w:sz="5" w:space="0" w:color="000000"/>
              <w:right w:val="single" w:sz="5" w:space="0" w:color="000000"/>
            </w:tcBorders>
            <w:vAlign w:val="center"/>
          </w:tcPr>
          <w:p w14:paraId="1DBDA5F7" w14:textId="77777777" w:rsidR="00307812" w:rsidRDefault="00307812" w:rsidP="00D943D5">
            <w:pPr>
              <w:pStyle w:val="TableParagraph"/>
              <w:ind w:left="102"/>
              <w:rPr>
                <w:rFonts w:ascii="Arial" w:eastAsia="Arial" w:hAnsi="Arial" w:cs="Arial"/>
                <w:sz w:val="24"/>
                <w:szCs w:val="24"/>
              </w:rPr>
            </w:pPr>
            <w:r>
              <w:rPr>
                <w:rFonts w:ascii="Arial" w:eastAsia="Arial" w:hAnsi="Arial" w:cs="Arial"/>
                <w:sz w:val="24"/>
                <w:szCs w:val="24"/>
              </w:rPr>
              <w:t>Pre</w:t>
            </w:r>
            <w:r>
              <w:rPr>
                <w:rFonts w:ascii="Arial" w:eastAsia="Arial" w:hAnsi="Arial" w:cs="Arial"/>
                <w:spacing w:val="-3"/>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 re</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w date</w:t>
            </w:r>
          </w:p>
        </w:tc>
        <w:tc>
          <w:tcPr>
            <w:tcW w:w="5852" w:type="dxa"/>
            <w:tcBorders>
              <w:top w:val="single" w:sz="5" w:space="0" w:color="000000"/>
              <w:left w:val="single" w:sz="5" w:space="0" w:color="000000"/>
              <w:bottom w:val="single" w:sz="5" w:space="0" w:color="000000"/>
              <w:right w:val="single" w:sz="5" w:space="0" w:color="000000"/>
            </w:tcBorders>
            <w:vAlign w:val="center"/>
          </w:tcPr>
          <w:p w14:paraId="0F94ABCE" w14:textId="77777777" w:rsidR="00307812" w:rsidRDefault="00307812" w:rsidP="00D943D5">
            <w:pPr>
              <w:pStyle w:val="TableParagraph"/>
              <w:ind w:left="142" w:right="182"/>
              <w:rPr>
                <w:rFonts w:ascii="Arial" w:eastAsia="Arial" w:hAnsi="Arial" w:cs="Arial"/>
                <w:sz w:val="24"/>
                <w:szCs w:val="24"/>
              </w:rPr>
            </w:pPr>
            <w:r>
              <w:rPr>
                <w:rFonts w:ascii="Arial" w:eastAsia="Arial" w:hAnsi="Arial" w:cs="Arial"/>
                <w:sz w:val="24"/>
                <w:szCs w:val="24"/>
              </w:rPr>
              <w:t>N/A</w:t>
            </w:r>
          </w:p>
        </w:tc>
      </w:tr>
      <w:tr w:rsidR="00307812" w14:paraId="7FA756AD" w14:textId="77777777" w:rsidTr="00D943D5">
        <w:trPr>
          <w:trHeight w:hRule="exact" w:val="492"/>
        </w:trPr>
        <w:tc>
          <w:tcPr>
            <w:tcW w:w="2439" w:type="dxa"/>
            <w:tcBorders>
              <w:top w:val="single" w:sz="5" w:space="0" w:color="000000"/>
              <w:left w:val="single" w:sz="5" w:space="0" w:color="000000"/>
              <w:bottom w:val="single" w:sz="5" w:space="0" w:color="000000"/>
              <w:right w:val="single" w:sz="5" w:space="0" w:color="000000"/>
            </w:tcBorders>
            <w:vAlign w:val="center"/>
          </w:tcPr>
          <w:p w14:paraId="077A9A3E" w14:textId="77777777" w:rsidR="00307812" w:rsidRDefault="00307812" w:rsidP="00D943D5">
            <w:pPr>
              <w:pStyle w:val="TableParagraph"/>
              <w:ind w:left="102"/>
              <w:rPr>
                <w:rFonts w:ascii="Arial" w:eastAsia="Arial" w:hAnsi="Arial" w:cs="Arial"/>
                <w:sz w:val="24"/>
                <w:szCs w:val="24"/>
              </w:rPr>
            </w:pPr>
            <w:r>
              <w:rPr>
                <w:rFonts w:ascii="Arial" w:eastAsia="Arial" w:hAnsi="Arial" w:cs="Arial"/>
                <w:sz w:val="24"/>
                <w:szCs w:val="24"/>
              </w:rPr>
              <w:t>Ne</w:t>
            </w:r>
            <w:r>
              <w:rPr>
                <w:rFonts w:ascii="Arial" w:eastAsia="Arial" w:hAnsi="Arial" w:cs="Arial"/>
                <w:spacing w:val="-2"/>
                <w:sz w:val="24"/>
                <w:szCs w:val="24"/>
              </w:rPr>
              <w:t>x</w:t>
            </w:r>
            <w:r>
              <w:rPr>
                <w:rFonts w:ascii="Arial" w:eastAsia="Arial" w:hAnsi="Arial" w:cs="Arial"/>
                <w:sz w:val="24"/>
                <w:szCs w:val="24"/>
              </w:rPr>
              <w:t>t review</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ate</w:t>
            </w:r>
          </w:p>
        </w:tc>
        <w:tc>
          <w:tcPr>
            <w:tcW w:w="5852" w:type="dxa"/>
            <w:tcBorders>
              <w:top w:val="single" w:sz="5" w:space="0" w:color="000000"/>
              <w:left w:val="single" w:sz="5" w:space="0" w:color="000000"/>
              <w:bottom w:val="single" w:sz="5" w:space="0" w:color="000000"/>
              <w:right w:val="single" w:sz="5" w:space="0" w:color="000000"/>
            </w:tcBorders>
            <w:vAlign w:val="center"/>
          </w:tcPr>
          <w:p w14:paraId="057BF65F" w14:textId="77777777" w:rsidR="00307812" w:rsidRDefault="00307812" w:rsidP="00D943D5">
            <w:pPr>
              <w:pStyle w:val="TableParagraph"/>
              <w:ind w:left="142" w:right="182"/>
              <w:rPr>
                <w:rFonts w:ascii="Arial" w:eastAsia="Arial" w:hAnsi="Arial" w:cs="Arial"/>
                <w:sz w:val="24"/>
                <w:szCs w:val="24"/>
              </w:rPr>
            </w:pPr>
            <w:r>
              <w:rPr>
                <w:rFonts w:ascii="Arial" w:eastAsia="Arial" w:hAnsi="Arial" w:cs="Arial"/>
                <w:spacing w:val="-1"/>
                <w:sz w:val="24"/>
                <w:szCs w:val="24"/>
              </w:rPr>
              <w:t>April</w:t>
            </w:r>
            <w:r>
              <w:rPr>
                <w:rFonts w:ascii="Arial" w:eastAsia="Arial" w:hAnsi="Arial" w:cs="Arial"/>
                <w:spacing w:val="-3"/>
                <w:sz w:val="24"/>
                <w:szCs w:val="24"/>
              </w:rPr>
              <w:t xml:space="preserve"> </w:t>
            </w:r>
            <w:r>
              <w:rPr>
                <w:rFonts w:ascii="Arial" w:eastAsia="Arial" w:hAnsi="Arial" w:cs="Arial"/>
                <w:spacing w:val="1"/>
                <w:sz w:val="24"/>
                <w:szCs w:val="24"/>
              </w:rPr>
              <w:t>2</w:t>
            </w:r>
            <w:r>
              <w:rPr>
                <w:rFonts w:ascii="Arial" w:eastAsia="Arial" w:hAnsi="Arial" w:cs="Arial"/>
                <w:sz w:val="24"/>
                <w:szCs w:val="24"/>
              </w:rPr>
              <w:t>018</w:t>
            </w:r>
          </w:p>
        </w:tc>
      </w:tr>
      <w:tr w:rsidR="00307812" w14:paraId="2B8080CE" w14:textId="77777777" w:rsidTr="00D943D5">
        <w:trPr>
          <w:trHeight w:hRule="exact" w:val="490"/>
        </w:trPr>
        <w:tc>
          <w:tcPr>
            <w:tcW w:w="2439" w:type="dxa"/>
            <w:tcBorders>
              <w:top w:val="single" w:sz="5" w:space="0" w:color="000000"/>
              <w:left w:val="single" w:sz="5" w:space="0" w:color="000000"/>
              <w:bottom w:val="single" w:sz="5" w:space="0" w:color="000000"/>
              <w:right w:val="single" w:sz="5" w:space="0" w:color="000000"/>
            </w:tcBorders>
            <w:vAlign w:val="center"/>
          </w:tcPr>
          <w:p w14:paraId="51B52594" w14:textId="2702C383" w:rsidR="00307812" w:rsidRDefault="00307812" w:rsidP="00D943D5">
            <w:pPr>
              <w:pStyle w:val="TableParagraph"/>
              <w:ind w:left="102"/>
              <w:rPr>
                <w:rFonts w:ascii="Arial" w:eastAsia="Arial" w:hAnsi="Arial" w:cs="Arial"/>
                <w:sz w:val="24"/>
                <w:szCs w:val="24"/>
              </w:rPr>
            </w:pPr>
            <w:r>
              <w:rPr>
                <w:rFonts w:ascii="Arial" w:eastAsia="Arial" w:hAnsi="Arial" w:cs="Arial"/>
                <w:sz w:val="24"/>
                <w:szCs w:val="24"/>
              </w:rPr>
              <w:t>Procedure</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z w:val="24"/>
                <w:szCs w:val="24"/>
              </w:rPr>
              <w:t>ner</w:t>
            </w:r>
          </w:p>
        </w:tc>
        <w:tc>
          <w:tcPr>
            <w:tcW w:w="5852" w:type="dxa"/>
            <w:tcBorders>
              <w:top w:val="single" w:sz="5" w:space="0" w:color="000000"/>
              <w:left w:val="single" w:sz="5" w:space="0" w:color="000000"/>
              <w:bottom w:val="single" w:sz="5" w:space="0" w:color="000000"/>
              <w:right w:val="single" w:sz="5" w:space="0" w:color="000000"/>
            </w:tcBorders>
            <w:vAlign w:val="center"/>
          </w:tcPr>
          <w:p w14:paraId="2D6F8CFD" w14:textId="280CA64D" w:rsidR="00307812" w:rsidRDefault="00307812" w:rsidP="00D943D5">
            <w:pPr>
              <w:pStyle w:val="TableParagraph"/>
              <w:ind w:left="142" w:right="182"/>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Reid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rector of</w:t>
            </w:r>
            <w:r>
              <w:rPr>
                <w:rFonts w:ascii="Arial" w:eastAsia="Arial" w:hAnsi="Arial" w:cs="Arial"/>
                <w:spacing w:val="2"/>
                <w:sz w:val="24"/>
                <w:szCs w:val="24"/>
              </w:rPr>
              <w:t xml:space="preserve"> </w:t>
            </w:r>
            <w:r>
              <w:rPr>
                <w:rFonts w:ascii="Arial" w:eastAsia="Arial" w:hAnsi="Arial" w:cs="Arial"/>
                <w:sz w:val="24"/>
                <w:szCs w:val="24"/>
              </w:rPr>
              <w:t>REO)</w:t>
            </w:r>
          </w:p>
        </w:tc>
      </w:tr>
      <w:tr w:rsidR="00307812" w14:paraId="05A0F69D" w14:textId="77777777" w:rsidTr="00D943D5">
        <w:trPr>
          <w:trHeight w:hRule="exact" w:val="490"/>
        </w:trPr>
        <w:tc>
          <w:tcPr>
            <w:tcW w:w="2439" w:type="dxa"/>
            <w:tcBorders>
              <w:top w:val="single" w:sz="5" w:space="0" w:color="000000"/>
              <w:left w:val="single" w:sz="5" w:space="0" w:color="000000"/>
              <w:bottom w:val="single" w:sz="5" w:space="0" w:color="000000"/>
              <w:right w:val="single" w:sz="5" w:space="0" w:color="000000"/>
            </w:tcBorders>
            <w:vAlign w:val="center"/>
          </w:tcPr>
          <w:p w14:paraId="7BDA2FD5" w14:textId="77777777" w:rsidR="00307812" w:rsidRDefault="00307812" w:rsidP="00D943D5">
            <w:pPr>
              <w:pStyle w:val="TableParagraph"/>
              <w:ind w:left="102"/>
              <w:rPr>
                <w:rFonts w:ascii="Arial" w:eastAsia="Arial" w:hAnsi="Arial" w:cs="Arial"/>
                <w:sz w:val="24"/>
                <w:szCs w:val="24"/>
              </w:rPr>
            </w:pPr>
            <w:r>
              <w:rPr>
                <w:rFonts w:ascii="Arial" w:eastAsia="Arial" w:hAnsi="Arial" w:cs="Arial"/>
                <w:sz w:val="24"/>
                <w:szCs w:val="24"/>
              </w:rPr>
              <w:t>Le</w:t>
            </w:r>
            <w:r>
              <w:rPr>
                <w:rFonts w:ascii="Arial" w:eastAsia="Arial" w:hAnsi="Arial" w:cs="Arial"/>
                <w:spacing w:val="-2"/>
                <w:sz w:val="24"/>
                <w:szCs w:val="24"/>
              </w:rPr>
              <w:t>a</w:t>
            </w:r>
            <w:r>
              <w:rPr>
                <w:rFonts w:ascii="Arial" w:eastAsia="Arial" w:hAnsi="Arial" w:cs="Arial"/>
                <w:sz w:val="24"/>
                <w:szCs w:val="24"/>
              </w:rPr>
              <w:t>d 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w:t>
            </w:r>
          </w:p>
        </w:tc>
        <w:tc>
          <w:tcPr>
            <w:tcW w:w="5852" w:type="dxa"/>
            <w:tcBorders>
              <w:top w:val="single" w:sz="5" w:space="0" w:color="000000"/>
              <w:left w:val="single" w:sz="5" w:space="0" w:color="000000"/>
              <w:bottom w:val="single" w:sz="5" w:space="0" w:color="000000"/>
              <w:right w:val="single" w:sz="5" w:space="0" w:color="000000"/>
            </w:tcBorders>
            <w:vAlign w:val="center"/>
          </w:tcPr>
          <w:p w14:paraId="7C69E5C7" w14:textId="77777777" w:rsidR="00307812" w:rsidRDefault="00307812" w:rsidP="00D943D5">
            <w:pPr>
              <w:pStyle w:val="TableParagraph"/>
              <w:ind w:left="142" w:right="182"/>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Reid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rector of</w:t>
            </w:r>
            <w:r>
              <w:rPr>
                <w:rFonts w:ascii="Arial" w:eastAsia="Arial" w:hAnsi="Arial" w:cs="Arial"/>
                <w:spacing w:val="2"/>
                <w:sz w:val="24"/>
                <w:szCs w:val="24"/>
              </w:rPr>
              <w:t xml:space="preserve"> </w:t>
            </w:r>
            <w:r>
              <w:rPr>
                <w:rFonts w:ascii="Arial" w:eastAsia="Arial" w:hAnsi="Arial" w:cs="Arial"/>
                <w:sz w:val="24"/>
                <w:szCs w:val="24"/>
              </w:rPr>
              <w:t>REO)</w:t>
            </w:r>
          </w:p>
        </w:tc>
      </w:tr>
      <w:tr w:rsidR="00307812" w14:paraId="49BB0C18" w14:textId="77777777" w:rsidTr="00D943D5">
        <w:trPr>
          <w:trHeight w:hRule="exact" w:val="516"/>
        </w:trPr>
        <w:tc>
          <w:tcPr>
            <w:tcW w:w="2439" w:type="dxa"/>
            <w:tcBorders>
              <w:top w:val="single" w:sz="5" w:space="0" w:color="000000"/>
              <w:left w:val="single" w:sz="5" w:space="0" w:color="000000"/>
              <w:bottom w:val="single" w:sz="5" w:space="0" w:color="000000"/>
              <w:right w:val="single" w:sz="5" w:space="0" w:color="000000"/>
            </w:tcBorders>
            <w:vAlign w:val="center"/>
          </w:tcPr>
          <w:p w14:paraId="0B218722" w14:textId="77777777" w:rsidR="00307812" w:rsidRDefault="00307812" w:rsidP="00D943D5">
            <w:pPr>
              <w:pStyle w:val="TableParagraph"/>
              <w:ind w:left="102"/>
              <w:rPr>
                <w:rFonts w:ascii="Arial" w:eastAsia="Arial" w:hAnsi="Arial" w:cs="Arial"/>
                <w:sz w:val="24"/>
                <w:szCs w:val="24"/>
              </w:rPr>
            </w:pPr>
            <w:r>
              <w:rPr>
                <w:rFonts w:ascii="Arial" w:eastAsia="Arial" w:hAnsi="Arial" w:cs="Arial"/>
                <w:sz w:val="24"/>
                <w:szCs w:val="24"/>
              </w:rPr>
              <w:t>Or</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 Prepared by</w:t>
            </w:r>
          </w:p>
        </w:tc>
        <w:tc>
          <w:tcPr>
            <w:tcW w:w="5852" w:type="dxa"/>
            <w:tcBorders>
              <w:top w:val="single" w:sz="5" w:space="0" w:color="000000"/>
              <w:left w:val="single" w:sz="5" w:space="0" w:color="000000"/>
              <w:bottom w:val="single" w:sz="5" w:space="0" w:color="000000"/>
              <w:right w:val="single" w:sz="5" w:space="0" w:color="000000"/>
            </w:tcBorders>
            <w:vAlign w:val="center"/>
          </w:tcPr>
          <w:p w14:paraId="2049C944" w14:textId="30F79B1D" w:rsidR="00307812" w:rsidRDefault="00307812" w:rsidP="00D943D5">
            <w:pPr>
              <w:pStyle w:val="TableParagraph"/>
              <w:ind w:left="142" w:right="182"/>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Reid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rector of</w:t>
            </w:r>
            <w:r>
              <w:rPr>
                <w:rFonts w:ascii="Arial" w:eastAsia="Arial" w:hAnsi="Arial" w:cs="Arial"/>
                <w:spacing w:val="2"/>
                <w:sz w:val="24"/>
                <w:szCs w:val="24"/>
              </w:rPr>
              <w:t xml:space="preserve"> </w:t>
            </w:r>
            <w:r>
              <w:rPr>
                <w:rFonts w:ascii="Arial" w:eastAsia="Arial" w:hAnsi="Arial" w:cs="Arial"/>
                <w:sz w:val="24"/>
                <w:szCs w:val="24"/>
              </w:rPr>
              <w:t>REO)</w:t>
            </w:r>
          </w:p>
        </w:tc>
      </w:tr>
    </w:tbl>
    <w:p w14:paraId="27CBDF1E" w14:textId="77777777" w:rsidR="00307812" w:rsidRDefault="00307812" w:rsidP="00307812">
      <w:pPr>
        <w:rPr>
          <w:rFonts w:ascii="Arial" w:eastAsia="Arial" w:hAnsi="Arial" w:cs="Arial"/>
          <w:szCs w:val="24"/>
        </w:rPr>
        <w:sectPr w:rsidR="00307812" w:rsidSect="00D943D5">
          <w:headerReference w:type="even" r:id="rId8"/>
          <w:headerReference w:type="default" r:id="rId9"/>
          <w:footerReference w:type="even" r:id="rId10"/>
          <w:footerReference w:type="default" r:id="rId11"/>
          <w:headerReference w:type="first" r:id="rId12"/>
          <w:footerReference w:type="first" r:id="rId13"/>
          <w:pgSz w:w="11907" w:h="16839" w:code="9"/>
          <w:pgMar w:top="1580" w:right="1680" w:bottom="920" w:left="1680" w:header="720" w:footer="733" w:gutter="0"/>
          <w:pgNumType w:start="1"/>
          <w:cols w:space="720"/>
          <w:docGrid w:linePitch="326"/>
        </w:sectPr>
      </w:pPr>
    </w:p>
    <w:p w14:paraId="69AC6EF6" w14:textId="737046E7" w:rsidR="002E09E7" w:rsidRPr="003A3BA1" w:rsidRDefault="001F6615" w:rsidP="00307812">
      <w:pPr>
        <w:rPr>
          <w:b/>
          <w:sz w:val="32"/>
          <w:szCs w:val="32"/>
        </w:rPr>
      </w:pPr>
      <w:r>
        <w:rPr>
          <w:b/>
          <w:sz w:val="32"/>
          <w:szCs w:val="32"/>
        </w:rPr>
        <w:lastRenderedPageBreak/>
        <w:t>Guidelines</w:t>
      </w:r>
      <w:r w:rsidR="00D34965" w:rsidRPr="003A3BA1">
        <w:rPr>
          <w:b/>
          <w:sz w:val="32"/>
          <w:szCs w:val="32"/>
        </w:rPr>
        <w:t xml:space="preserve"> for </w:t>
      </w:r>
      <w:r w:rsidR="009C3CD5">
        <w:rPr>
          <w:b/>
          <w:sz w:val="32"/>
          <w:szCs w:val="32"/>
        </w:rPr>
        <w:t>staff p</w:t>
      </w:r>
      <w:r w:rsidR="00D9423A">
        <w:rPr>
          <w:b/>
          <w:sz w:val="32"/>
          <w:szCs w:val="32"/>
        </w:rPr>
        <w:t xml:space="preserve">reparing </w:t>
      </w:r>
      <w:r w:rsidR="009C3CD5">
        <w:rPr>
          <w:b/>
          <w:sz w:val="32"/>
          <w:szCs w:val="32"/>
        </w:rPr>
        <w:t>a</w:t>
      </w:r>
      <w:r w:rsidR="009956C3">
        <w:rPr>
          <w:b/>
          <w:sz w:val="32"/>
          <w:szCs w:val="32"/>
        </w:rPr>
        <w:t>pplications for research g</w:t>
      </w:r>
      <w:r w:rsidR="00D34965" w:rsidRPr="003A3BA1">
        <w:rPr>
          <w:b/>
          <w:sz w:val="32"/>
          <w:szCs w:val="32"/>
        </w:rPr>
        <w:t xml:space="preserve">rants and </w:t>
      </w:r>
      <w:r w:rsidR="00D9423A">
        <w:rPr>
          <w:b/>
          <w:sz w:val="32"/>
          <w:szCs w:val="32"/>
        </w:rPr>
        <w:t>other ex</w:t>
      </w:r>
      <w:r w:rsidR="0086176A">
        <w:rPr>
          <w:b/>
          <w:sz w:val="32"/>
          <w:szCs w:val="32"/>
        </w:rPr>
        <w:t>ternally funded proposals</w:t>
      </w:r>
    </w:p>
    <w:p w14:paraId="1729B394" w14:textId="77777777" w:rsidR="009C3CD5" w:rsidRDefault="009C3CD5">
      <w:pPr>
        <w:rPr>
          <w:sz w:val="24"/>
          <w:szCs w:val="24"/>
        </w:rPr>
      </w:pPr>
    </w:p>
    <w:p w14:paraId="0D0125D1" w14:textId="76862330" w:rsidR="006C6D05" w:rsidRDefault="006C6D05">
      <w:pPr>
        <w:rPr>
          <w:sz w:val="24"/>
          <w:szCs w:val="24"/>
        </w:rPr>
      </w:pPr>
      <w:r>
        <w:rPr>
          <w:sz w:val="24"/>
          <w:szCs w:val="24"/>
        </w:rPr>
        <w:t>Content:</w:t>
      </w:r>
    </w:p>
    <w:p w14:paraId="4D28A9BD" w14:textId="1266B64F" w:rsidR="009956C3" w:rsidRPr="009956C3" w:rsidRDefault="009956C3" w:rsidP="00755D85">
      <w:pPr>
        <w:pStyle w:val="ListParagraph"/>
        <w:numPr>
          <w:ilvl w:val="0"/>
          <w:numId w:val="14"/>
        </w:numPr>
        <w:jc w:val="both"/>
        <w:rPr>
          <w:sz w:val="24"/>
          <w:szCs w:val="24"/>
        </w:rPr>
      </w:pPr>
      <w:r w:rsidRPr="009956C3">
        <w:rPr>
          <w:sz w:val="24"/>
          <w:szCs w:val="24"/>
        </w:rPr>
        <w:t>Internal d</w:t>
      </w:r>
      <w:r w:rsidR="00A9657A">
        <w:rPr>
          <w:sz w:val="24"/>
          <w:szCs w:val="24"/>
        </w:rPr>
        <w:t>eadlines for s</w:t>
      </w:r>
      <w:r w:rsidRPr="009956C3">
        <w:rPr>
          <w:sz w:val="24"/>
          <w:szCs w:val="24"/>
        </w:rPr>
        <w:t>ubmission</w:t>
      </w:r>
    </w:p>
    <w:p w14:paraId="7BFC2E5D" w14:textId="77777777" w:rsidR="00D943D5" w:rsidRPr="009956C3" w:rsidRDefault="00D943D5" w:rsidP="00755D85">
      <w:pPr>
        <w:pStyle w:val="ListParagraph"/>
        <w:numPr>
          <w:ilvl w:val="1"/>
          <w:numId w:val="14"/>
        </w:numPr>
        <w:jc w:val="both"/>
        <w:rPr>
          <w:sz w:val="24"/>
          <w:szCs w:val="24"/>
        </w:rPr>
      </w:pPr>
      <w:r w:rsidRPr="009956C3">
        <w:rPr>
          <w:sz w:val="24"/>
          <w:szCs w:val="24"/>
        </w:rPr>
        <w:t>Full proposals</w:t>
      </w:r>
    </w:p>
    <w:p w14:paraId="091F617A" w14:textId="4C3BE75E" w:rsidR="009956C3" w:rsidRPr="009956C3" w:rsidRDefault="009956C3" w:rsidP="00755D85">
      <w:pPr>
        <w:pStyle w:val="ListParagraph"/>
        <w:numPr>
          <w:ilvl w:val="1"/>
          <w:numId w:val="14"/>
        </w:numPr>
        <w:jc w:val="both"/>
        <w:rPr>
          <w:sz w:val="24"/>
          <w:szCs w:val="24"/>
        </w:rPr>
      </w:pPr>
      <w:r w:rsidRPr="009956C3">
        <w:rPr>
          <w:sz w:val="24"/>
          <w:szCs w:val="24"/>
        </w:rPr>
        <w:t>Outline proposals/ Expressions of interest</w:t>
      </w:r>
    </w:p>
    <w:p w14:paraId="000987CC" w14:textId="594FB757" w:rsidR="009956C3" w:rsidRPr="009956C3" w:rsidRDefault="009956C3" w:rsidP="00755D85">
      <w:pPr>
        <w:pStyle w:val="ListParagraph"/>
        <w:numPr>
          <w:ilvl w:val="0"/>
          <w:numId w:val="14"/>
        </w:numPr>
        <w:jc w:val="both"/>
        <w:rPr>
          <w:sz w:val="24"/>
          <w:szCs w:val="24"/>
        </w:rPr>
      </w:pPr>
      <w:r w:rsidRPr="009956C3">
        <w:rPr>
          <w:sz w:val="24"/>
          <w:szCs w:val="24"/>
        </w:rPr>
        <w:t>Costing and pricing</w:t>
      </w:r>
    </w:p>
    <w:p w14:paraId="2C4129A4" w14:textId="77777777" w:rsidR="009956C3" w:rsidRPr="009956C3" w:rsidRDefault="009956C3" w:rsidP="00755D85">
      <w:pPr>
        <w:pStyle w:val="ListParagraph"/>
        <w:numPr>
          <w:ilvl w:val="1"/>
          <w:numId w:val="14"/>
        </w:numPr>
        <w:jc w:val="both"/>
        <w:rPr>
          <w:sz w:val="24"/>
          <w:szCs w:val="24"/>
        </w:rPr>
      </w:pPr>
      <w:r w:rsidRPr="009956C3">
        <w:rPr>
          <w:sz w:val="24"/>
          <w:szCs w:val="24"/>
        </w:rPr>
        <w:t xml:space="preserve">Overheads </w:t>
      </w:r>
    </w:p>
    <w:p w14:paraId="3E97AEBA" w14:textId="241C5373" w:rsidR="009956C3" w:rsidRPr="009956C3" w:rsidRDefault="00A9657A" w:rsidP="00755D85">
      <w:pPr>
        <w:pStyle w:val="ListParagraph"/>
        <w:numPr>
          <w:ilvl w:val="1"/>
          <w:numId w:val="14"/>
        </w:numPr>
        <w:jc w:val="both"/>
        <w:rPr>
          <w:sz w:val="24"/>
          <w:szCs w:val="24"/>
        </w:rPr>
      </w:pPr>
      <w:r>
        <w:rPr>
          <w:sz w:val="24"/>
          <w:szCs w:val="24"/>
        </w:rPr>
        <w:t>Staff cost r</w:t>
      </w:r>
      <w:r w:rsidR="009956C3" w:rsidRPr="009956C3">
        <w:rPr>
          <w:sz w:val="24"/>
          <w:szCs w:val="24"/>
        </w:rPr>
        <w:t>ecovery</w:t>
      </w:r>
    </w:p>
    <w:p w14:paraId="6BE4533F" w14:textId="12AE4730" w:rsidR="009956C3" w:rsidRPr="009956C3" w:rsidRDefault="009956C3" w:rsidP="00755D85">
      <w:pPr>
        <w:pStyle w:val="ListParagraph"/>
        <w:numPr>
          <w:ilvl w:val="1"/>
          <w:numId w:val="14"/>
        </w:numPr>
        <w:jc w:val="both"/>
        <w:rPr>
          <w:sz w:val="24"/>
          <w:szCs w:val="24"/>
        </w:rPr>
      </w:pPr>
      <w:r w:rsidRPr="009956C3">
        <w:rPr>
          <w:sz w:val="24"/>
          <w:szCs w:val="24"/>
        </w:rPr>
        <w:t>Exchange</w:t>
      </w:r>
      <w:r w:rsidR="00A9657A">
        <w:rPr>
          <w:sz w:val="24"/>
          <w:szCs w:val="24"/>
        </w:rPr>
        <w:t xml:space="preserve"> rate p</w:t>
      </w:r>
      <w:r w:rsidRPr="009956C3">
        <w:rPr>
          <w:sz w:val="24"/>
          <w:szCs w:val="24"/>
        </w:rPr>
        <w:t>rotection</w:t>
      </w:r>
    </w:p>
    <w:p w14:paraId="6A391E02" w14:textId="70C6063D" w:rsidR="009956C3" w:rsidRPr="009956C3" w:rsidRDefault="009956C3" w:rsidP="00755D85">
      <w:pPr>
        <w:pStyle w:val="ListParagraph"/>
        <w:numPr>
          <w:ilvl w:val="1"/>
          <w:numId w:val="14"/>
        </w:numPr>
        <w:jc w:val="both"/>
        <w:rPr>
          <w:sz w:val="24"/>
          <w:szCs w:val="24"/>
        </w:rPr>
      </w:pPr>
      <w:r w:rsidRPr="009956C3">
        <w:rPr>
          <w:sz w:val="24"/>
          <w:szCs w:val="24"/>
        </w:rPr>
        <w:t>Threshold cost recovery rates for research</w:t>
      </w:r>
    </w:p>
    <w:p w14:paraId="07761D53" w14:textId="494D52E8" w:rsidR="009956C3" w:rsidRPr="009956C3" w:rsidRDefault="009956C3" w:rsidP="00755D85">
      <w:pPr>
        <w:pStyle w:val="ListParagraph"/>
        <w:numPr>
          <w:ilvl w:val="0"/>
          <w:numId w:val="14"/>
        </w:numPr>
        <w:jc w:val="both"/>
        <w:rPr>
          <w:sz w:val="24"/>
          <w:szCs w:val="24"/>
        </w:rPr>
      </w:pPr>
      <w:r w:rsidRPr="009956C3">
        <w:rPr>
          <w:sz w:val="24"/>
          <w:szCs w:val="24"/>
        </w:rPr>
        <w:t>Other issues</w:t>
      </w:r>
    </w:p>
    <w:p w14:paraId="743C3162" w14:textId="01469CE4" w:rsidR="006C6D05" w:rsidRPr="009956C3" w:rsidRDefault="00A9657A" w:rsidP="00755D85">
      <w:pPr>
        <w:pStyle w:val="ListParagraph"/>
        <w:numPr>
          <w:ilvl w:val="1"/>
          <w:numId w:val="14"/>
        </w:numPr>
        <w:jc w:val="both"/>
        <w:rPr>
          <w:sz w:val="24"/>
          <w:szCs w:val="24"/>
        </w:rPr>
      </w:pPr>
      <w:r>
        <w:rPr>
          <w:sz w:val="24"/>
          <w:szCs w:val="24"/>
        </w:rPr>
        <w:t>Principal i</w:t>
      </w:r>
      <w:r w:rsidR="006C6D05" w:rsidRPr="009956C3">
        <w:rPr>
          <w:sz w:val="24"/>
          <w:szCs w:val="24"/>
        </w:rPr>
        <w:t xml:space="preserve">nvestigator </w:t>
      </w:r>
      <w:r>
        <w:rPr>
          <w:sz w:val="24"/>
          <w:szCs w:val="24"/>
        </w:rPr>
        <w:t>s</w:t>
      </w:r>
      <w:r w:rsidR="006C6D05" w:rsidRPr="009956C3">
        <w:rPr>
          <w:sz w:val="24"/>
          <w:szCs w:val="24"/>
        </w:rPr>
        <w:t>tatus</w:t>
      </w:r>
    </w:p>
    <w:p w14:paraId="0BC67C2C" w14:textId="765E55E5" w:rsidR="006C6D05" w:rsidRPr="009956C3" w:rsidRDefault="00A9657A" w:rsidP="00755D85">
      <w:pPr>
        <w:pStyle w:val="ListParagraph"/>
        <w:numPr>
          <w:ilvl w:val="1"/>
          <w:numId w:val="14"/>
        </w:numPr>
        <w:jc w:val="both"/>
        <w:rPr>
          <w:sz w:val="24"/>
          <w:szCs w:val="24"/>
        </w:rPr>
      </w:pPr>
      <w:r>
        <w:rPr>
          <w:sz w:val="24"/>
          <w:szCs w:val="24"/>
        </w:rPr>
        <w:t>Confidential i</w:t>
      </w:r>
      <w:r w:rsidR="006C6D05" w:rsidRPr="009956C3">
        <w:rPr>
          <w:sz w:val="24"/>
          <w:szCs w:val="24"/>
        </w:rPr>
        <w:t>nformation</w:t>
      </w:r>
    </w:p>
    <w:p w14:paraId="2431383E" w14:textId="77777777" w:rsidR="006C6D05" w:rsidRPr="009956C3" w:rsidRDefault="006C6D05" w:rsidP="00755D85">
      <w:pPr>
        <w:pStyle w:val="ListParagraph"/>
        <w:numPr>
          <w:ilvl w:val="1"/>
          <w:numId w:val="14"/>
        </w:numPr>
        <w:rPr>
          <w:sz w:val="24"/>
          <w:szCs w:val="24"/>
        </w:rPr>
      </w:pPr>
      <w:r w:rsidRPr="009956C3">
        <w:rPr>
          <w:sz w:val="24"/>
          <w:szCs w:val="24"/>
        </w:rPr>
        <w:t>Collaborative grants</w:t>
      </w:r>
    </w:p>
    <w:p w14:paraId="467EB8F5" w14:textId="77777777" w:rsidR="006C6D05" w:rsidRDefault="006C6D05">
      <w:pPr>
        <w:rPr>
          <w:sz w:val="24"/>
          <w:szCs w:val="24"/>
        </w:rPr>
        <w:sectPr w:rsidR="006C6D05" w:rsidSect="001F6615">
          <w:headerReference w:type="even" r:id="rId14"/>
          <w:headerReference w:type="default" r:id="rId15"/>
          <w:headerReference w:type="first" r:id="rId16"/>
          <w:pgSz w:w="11906" w:h="16838"/>
          <w:pgMar w:top="1361" w:right="1134" w:bottom="964" w:left="1134" w:header="709" w:footer="709" w:gutter="0"/>
          <w:cols w:space="708"/>
          <w:docGrid w:linePitch="360"/>
        </w:sectPr>
      </w:pPr>
    </w:p>
    <w:p w14:paraId="5833AB16" w14:textId="5097AE34" w:rsidR="00FD50DB" w:rsidRDefault="00FD50DB" w:rsidP="00360384">
      <w:pPr>
        <w:spacing w:line="276" w:lineRule="auto"/>
        <w:jc w:val="both"/>
        <w:rPr>
          <w:sz w:val="24"/>
          <w:szCs w:val="24"/>
        </w:rPr>
      </w:pPr>
      <w:r w:rsidRPr="008F5151">
        <w:rPr>
          <w:sz w:val="24"/>
          <w:szCs w:val="24"/>
        </w:rPr>
        <w:lastRenderedPageBreak/>
        <w:t>Bangor University strongly encourages staff to seek external funding for any research activity they want to undertake</w:t>
      </w:r>
      <w:r>
        <w:rPr>
          <w:sz w:val="24"/>
          <w:szCs w:val="24"/>
        </w:rPr>
        <w:t>. BU aims to increase the number of good quality research proposals and the amount of funding awarded.</w:t>
      </w:r>
    </w:p>
    <w:p w14:paraId="493BBC48" w14:textId="5137467B" w:rsidR="00DA1D16" w:rsidRDefault="009C3CD5" w:rsidP="00360384">
      <w:pPr>
        <w:spacing w:line="276" w:lineRule="auto"/>
        <w:jc w:val="both"/>
        <w:rPr>
          <w:sz w:val="24"/>
          <w:szCs w:val="24"/>
        </w:rPr>
      </w:pPr>
      <w:r>
        <w:rPr>
          <w:sz w:val="24"/>
          <w:szCs w:val="24"/>
        </w:rPr>
        <w:t>The guidance below is intended to clarify the requirements of both the University and external sponsors/funders when proposals for externally funded research are being developed. These are in effect the internal rules by which both researchers and REO staff should be working in supporting the application process.</w:t>
      </w:r>
      <w:r w:rsidR="00FD50DB">
        <w:rPr>
          <w:sz w:val="24"/>
          <w:szCs w:val="24"/>
        </w:rPr>
        <w:t xml:space="preserve"> </w:t>
      </w:r>
    </w:p>
    <w:p w14:paraId="13B3043B" w14:textId="77777777" w:rsidR="00DA1D16" w:rsidRDefault="00DA1D16" w:rsidP="00360384">
      <w:pPr>
        <w:spacing w:line="276" w:lineRule="auto"/>
        <w:jc w:val="both"/>
        <w:rPr>
          <w:sz w:val="24"/>
          <w:szCs w:val="24"/>
        </w:rPr>
      </w:pPr>
    </w:p>
    <w:p w14:paraId="07E8E20C" w14:textId="32D50B3B" w:rsidR="00A9657A" w:rsidRDefault="00A9657A" w:rsidP="00755D85">
      <w:pPr>
        <w:pStyle w:val="ListParagraph"/>
        <w:numPr>
          <w:ilvl w:val="0"/>
          <w:numId w:val="15"/>
        </w:numPr>
        <w:jc w:val="both"/>
        <w:rPr>
          <w:b/>
          <w:sz w:val="24"/>
          <w:szCs w:val="24"/>
        </w:rPr>
      </w:pPr>
      <w:r>
        <w:rPr>
          <w:b/>
          <w:sz w:val="24"/>
          <w:szCs w:val="24"/>
        </w:rPr>
        <w:t>Internal deadlines for s</w:t>
      </w:r>
      <w:r w:rsidRPr="001F6615">
        <w:rPr>
          <w:b/>
          <w:sz w:val="24"/>
          <w:szCs w:val="24"/>
        </w:rPr>
        <w:t>ubmission</w:t>
      </w:r>
    </w:p>
    <w:p w14:paraId="0C34A7B3" w14:textId="432101A8" w:rsidR="00A9657A" w:rsidRPr="00D943D5" w:rsidRDefault="00A9657A" w:rsidP="00755D85">
      <w:pPr>
        <w:pStyle w:val="ListParagraph"/>
        <w:numPr>
          <w:ilvl w:val="1"/>
          <w:numId w:val="15"/>
        </w:numPr>
        <w:jc w:val="both"/>
        <w:rPr>
          <w:b/>
          <w:sz w:val="24"/>
          <w:szCs w:val="24"/>
        </w:rPr>
      </w:pPr>
      <w:r w:rsidRPr="00D943D5">
        <w:rPr>
          <w:b/>
          <w:sz w:val="24"/>
          <w:szCs w:val="24"/>
        </w:rPr>
        <w:t>Full proposals</w:t>
      </w:r>
    </w:p>
    <w:p w14:paraId="5B12407D" w14:textId="06FD21D4" w:rsidR="00A9657A" w:rsidRDefault="00A9657A" w:rsidP="00A9657A">
      <w:pPr>
        <w:pStyle w:val="ListParagraph"/>
        <w:ind w:left="360"/>
        <w:jc w:val="both"/>
        <w:rPr>
          <w:sz w:val="24"/>
          <w:szCs w:val="24"/>
        </w:rPr>
      </w:pPr>
      <w:r>
        <w:rPr>
          <w:sz w:val="24"/>
          <w:szCs w:val="24"/>
        </w:rPr>
        <w:t>In order to allow all members of staff involved in proposal development - both in academic as well as in administration departments – enough time to conduct all necessary and all mandatory tasks and procedures while managing their workloads, the following intern</w:t>
      </w:r>
      <w:r w:rsidR="00DA1D16">
        <w:rPr>
          <w:sz w:val="24"/>
          <w:szCs w:val="24"/>
        </w:rPr>
        <w:t>al deadlines are to be observed. Staff are encouraged to engage with these processes earlier, if possible:</w:t>
      </w:r>
    </w:p>
    <w:p w14:paraId="6640D9AB" w14:textId="77777777" w:rsidR="00A9657A" w:rsidRDefault="00A9657A" w:rsidP="00A9657A">
      <w:pPr>
        <w:pStyle w:val="ListParagraph"/>
        <w:ind w:left="360"/>
        <w:jc w:val="both"/>
        <w:rPr>
          <w:sz w:val="24"/>
          <w:szCs w:val="24"/>
        </w:rPr>
      </w:pPr>
    </w:p>
    <w:p w14:paraId="60EB624A" w14:textId="77777777" w:rsidR="00A9657A" w:rsidRPr="00360384" w:rsidRDefault="00A9657A" w:rsidP="00A9657A">
      <w:pPr>
        <w:pStyle w:val="ListParagraph"/>
        <w:ind w:left="360"/>
        <w:jc w:val="both"/>
        <w:rPr>
          <w:b/>
          <w:sz w:val="24"/>
          <w:szCs w:val="24"/>
        </w:rPr>
      </w:pPr>
      <w:r w:rsidRPr="00360384">
        <w:rPr>
          <w:b/>
          <w:sz w:val="24"/>
          <w:szCs w:val="24"/>
        </w:rPr>
        <w:t>15 working days before the sponsor deadline</w:t>
      </w:r>
    </w:p>
    <w:p w14:paraId="4126A3AC" w14:textId="16AB9F18" w:rsidR="00A9657A" w:rsidRDefault="00A9657A" w:rsidP="00A9657A">
      <w:pPr>
        <w:pStyle w:val="ListParagraph"/>
        <w:ind w:left="360"/>
        <w:jc w:val="both"/>
        <w:rPr>
          <w:sz w:val="24"/>
          <w:szCs w:val="24"/>
        </w:rPr>
      </w:pPr>
      <w:r>
        <w:rPr>
          <w:sz w:val="24"/>
          <w:szCs w:val="24"/>
        </w:rPr>
        <w:t xml:space="preserve">A first draft </w:t>
      </w:r>
      <w:r w:rsidR="00E21B91">
        <w:rPr>
          <w:sz w:val="24"/>
          <w:szCs w:val="24"/>
        </w:rPr>
        <w:t>Full Economic Cost (</w:t>
      </w:r>
      <w:r>
        <w:rPr>
          <w:sz w:val="24"/>
          <w:szCs w:val="24"/>
        </w:rPr>
        <w:t>FEC</w:t>
      </w:r>
      <w:r w:rsidR="00E21B91">
        <w:rPr>
          <w:sz w:val="24"/>
          <w:szCs w:val="24"/>
        </w:rPr>
        <w:t>)</w:t>
      </w:r>
      <w:r>
        <w:rPr>
          <w:sz w:val="24"/>
          <w:szCs w:val="24"/>
        </w:rPr>
        <w:t xml:space="preserve"> budget needs to be submitted to REO. This first draft FEC budget needs to be based on a well-considered project plan and budget plan and constitutes relevant information collated and organised in a logical fashion in one document or file. It can be presented directly in a FEC form, on an excel spreadsheet or word document (such as the FEC questionnaire) or in a single email – not an email string.</w:t>
      </w:r>
    </w:p>
    <w:p w14:paraId="050DCCBE" w14:textId="75952A3F" w:rsidR="00A9657A" w:rsidRDefault="00A9657A" w:rsidP="00D943D5">
      <w:pPr>
        <w:pStyle w:val="ListParagraph"/>
        <w:ind w:left="360"/>
        <w:jc w:val="both"/>
        <w:rPr>
          <w:sz w:val="24"/>
          <w:szCs w:val="24"/>
        </w:rPr>
      </w:pPr>
      <w:r>
        <w:rPr>
          <w:sz w:val="24"/>
          <w:szCs w:val="24"/>
        </w:rPr>
        <w:t>This time frame allows several iterations of the budget to correct mistakes and adjust the budget with developments on the project. It is expected that the project development is well advanced and no fundamental changes to the project are expected at this stage.</w:t>
      </w:r>
    </w:p>
    <w:p w14:paraId="2E272A5D" w14:textId="76190AB1" w:rsidR="007C4026" w:rsidRDefault="007C4026" w:rsidP="00D943D5">
      <w:pPr>
        <w:pStyle w:val="ListParagraph"/>
        <w:ind w:left="360"/>
        <w:jc w:val="both"/>
        <w:rPr>
          <w:sz w:val="24"/>
          <w:szCs w:val="24"/>
        </w:rPr>
      </w:pPr>
      <w:r>
        <w:rPr>
          <w:sz w:val="24"/>
          <w:szCs w:val="24"/>
        </w:rPr>
        <w:t xml:space="preserve">Proposals to calls with less than </w:t>
      </w:r>
      <w:r w:rsidR="002D45FD">
        <w:rPr>
          <w:sz w:val="24"/>
          <w:szCs w:val="24"/>
        </w:rPr>
        <w:t>2</w:t>
      </w:r>
      <w:r>
        <w:rPr>
          <w:sz w:val="24"/>
          <w:szCs w:val="24"/>
        </w:rPr>
        <w:t xml:space="preserve">0 working days between issue of the call and funder deadline are excepted from meeting this internal deadline. However, </w:t>
      </w:r>
      <w:r w:rsidR="007228B4">
        <w:rPr>
          <w:sz w:val="24"/>
          <w:szCs w:val="24"/>
        </w:rPr>
        <w:t>in these cases</w:t>
      </w:r>
      <w:r>
        <w:rPr>
          <w:sz w:val="24"/>
          <w:szCs w:val="24"/>
        </w:rPr>
        <w:t xml:space="preserve"> applicants are required to notify REO about their intent to submit as soon as possible. </w:t>
      </w:r>
    </w:p>
    <w:p w14:paraId="7682AF0A" w14:textId="77777777" w:rsidR="00D943D5" w:rsidRPr="00D943D5" w:rsidRDefault="00D943D5" w:rsidP="00D943D5">
      <w:pPr>
        <w:pStyle w:val="ListParagraph"/>
        <w:ind w:left="360"/>
        <w:jc w:val="both"/>
        <w:rPr>
          <w:sz w:val="24"/>
          <w:szCs w:val="24"/>
        </w:rPr>
      </w:pPr>
    </w:p>
    <w:p w14:paraId="7D743B9A" w14:textId="77777777" w:rsidR="00A9657A" w:rsidRPr="00360384" w:rsidRDefault="00A9657A" w:rsidP="00A9657A">
      <w:pPr>
        <w:pStyle w:val="ListParagraph"/>
        <w:ind w:left="360"/>
        <w:jc w:val="both"/>
        <w:rPr>
          <w:b/>
          <w:sz w:val="24"/>
          <w:szCs w:val="24"/>
        </w:rPr>
      </w:pPr>
      <w:r w:rsidRPr="00360384">
        <w:rPr>
          <w:b/>
          <w:sz w:val="24"/>
          <w:szCs w:val="24"/>
        </w:rPr>
        <w:t>5 working days before the sponsor deadline</w:t>
      </w:r>
    </w:p>
    <w:p w14:paraId="3130A567" w14:textId="77777777" w:rsidR="00026186" w:rsidRDefault="00A9657A" w:rsidP="00A9657A">
      <w:pPr>
        <w:pStyle w:val="ListParagraph"/>
        <w:ind w:left="360"/>
        <w:jc w:val="both"/>
        <w:rPr>
          <w:sz w:val="24"/>
          <w:szCs w:val="24"/>
        </w:rPr>
      </w:pPr>
      <w:r>
        <w:rPr>
          <w:sz w:val="24"/>
          <w:szCs w:val="24"/>
        </w:rPr>
        <w:t xml:space="preserve">Proposal and FEC budget have to be ready, approved by the Head of School or alternate and submitted for the final University level check and sign off. </w:t>
      </w:r>
    </w:p>
    <w:p w14:paraId="5469B429" w14:textId="32462FD8" w:rsidR="00843BD3" w:rsidRDefault="00843BD3" w:rsidP="00A9657A">
      <w:pPr>
        <w:pStyle w:val="ListParagraph"/>
        <w:ind w:left="360"/>
        <w:jc w:val="both"/>
        <w:rPr>
          <w:sz w:val="24"/>
          <w:szCs w:val="24"/>
        </w:rPr>
      </w:pPr>
      <w:r>
        <w:rPr>
          <w:sz w:val="24"/>
          <w:szCs w:val="24"/>
        </w:rPr>
        <w:t xml:space="preserve">For collaborative proposals where BU is the lead partner, </w:t>
      </w:r>
      <w:r w:rsidR="00026186">
        <w:rPr>
          <w:sz w:val="24"/>
          <w:szCs w:val="24"/>
        </w:rPr>
        <w:t>the PI needs to arrange confirmation by this deadline of the final partner budget(s) broken down to an appropriate level of detail, and confirmed by a relevant authority in the partner institution(s) (often a central administration department). The confirmation can be submitted directly to REO or via the PI. The partner institution(s) are welcome to liaise directly with REO.</w:t>
      </w:r>
    </w:p>
    <w:p w14:paraId="6F1F87CD" w14:textId="76315C96" w:rsidR="00A9657A" w:rsidRDefault="00A9657A" w:rsidP="00A9657A">
      <w:pPr>
        <w:pStyle w:val="ListParagraph"/>
        <w:ind w:left="360"/>
        <w:jc w:val="both"/>
        <w:rPr>
          <w:sz w:val="24"/>
          <w:szCs w:val="24"/>
        </w:rPr>
      </w:pPr>
      <w:r>
        <w:rPr>
          <w:sz w:val="24"/>
          <w:szCs w:val="24"/>
        </w:rPr>
        <w:t>This allows enough time to address any major issues that might be identified at this stage.</w:t>
      </w:r>
      <w:r w:rsidR="00D943D5">
        <w:rPr>
          <w:sz w:val="24"/>
          <w:szCs w:val="24"/>
        </w:rPr>
        <w:t xml:space="preserve"> REO will ensure that final approval will be granted at least 1-2 days before the deadline.</w:t>
      </w:r>
    </w:p>
    <w:p w14:paraId="27A9AE8C" w14:textId="77777777" w:rsidR="00A9657A" w:rsidRDefault="00A9657A" w:rsidP="00A9657A">
      <w:pPr>
        <w:pStyle w:val="ListParagraph"/>
        <w:ind w:left="360"/>
        <w:jc w:val="both"/>
        <w:rPr>
          <w:sz w:val="24"/>
          <w:szCs w:val="24"/>
        </w:rPr>
      </w:pPr>
    </w:p>
    <w:p w14:paraId="3399FA11" w14:textId="77777777" w:rsidR="00A9657A" w:rsidRPr="00360384" w:rsidRDefault="00A9657A" w:rsidP="00A9657A">
      <w:pPr>
        <w:pStyle w:val="ListParagraph"/>
        <w:ind w:left="360"/>
        <w:jc w:val="both"/>
        <w:rPr>
          <w:b/>
          <w:sz w:val="24"/>
          <w:szCs w:val="24"/>
        </w:rPr>
      </w:pPr>
      <w:r w:rsidRPr="00360384">
        <w:rPr>
          <w:b/>
          <w:sz w:val="24"/>
          <w:szCs w:val="24"/>
        </w:rPr>
        <w:t>30 hours before the sponsor deadline</w:t>
      </w:r>
    </w:p>
    <w:p w14:paraId="351B2369" w14:textId="38077F88" w:rsidR="00A9657A" w:rsidRPr="00360384" w:rsidRDefault="00A9657A" w:rsidP="00A9657A">
      <w:pPr>
        <w:pStyle w:val="ListParagraph"/>
        <w:ind w:left="360"/>
        <w:jc w:val="both"/>
        <w:rPr>
          <w:b/>
          <w:sz w:val="24"/>
          <w:szCs w:val="24"/>
        </w:rPr>
      </w:pPr>
      <w:r>
        <w:rPr>
          <w:sz w:val="24"/>
          <w:szCs w:val="24"/>
        </w:rPr>
        <w:t>No amendments or revisions can be made to the proposal in the last 30 hours - this give</w:t>
      </w:r>
      <w:r w:rsidR="00DA1D16">
        <w:rPr>
          <w:sz w:val="24"/>
          <w:szCs w:val="24"/>
        </w:rPr>
        <w:t>s</w:t>
      </w:r>
      <w:r>
        <w:rPr>
          <w:sz w:val="24"/>
          <w:szCs w:val="24"/>
        </w:rPr>
        <w:t xml:space="preserve"> one full day and one morning ahead of the submission deadline. This is essential given the </w:t>
      </w:r>
      <w:r>
        <w:rPr>
          <w:sz w:val="24"/>
          <w:szCs w:val="24"/>
        </w:rPr>
        <w:lastRenderedPageBreak/>
        <w:t>bottleneck</w:t>
      </w:r>
      <w:r w:rsidR="00D943D5">
        <w:rPr>
          <w:sz w:val="24"/>
          <w:szCs w:val="24"/>
        </w:rPr>
        <w:t>,</w:t>
      </w:r>
      <w:r>
        <w:rPr>
          <w:sz w:val="24"/>
          <w:szCs w:val="24"/>
        </w:rPr>
        <w:t xml:space="preserve"> which commonly occurs with multiple proposals being submitted on the same day. </w:t>
      </w:r>
      <w:r w:rsidRPr="00360384">
        <w:rPr>
          <w:b/>
          <w:sz w:val="24"/>
          <w:szCs w:val="24"/>
        </w:rPr>
        <w:t xml:space="preserve">This limit will be rigorously enforced.  </w:t>
      </w:r>
    </w:p>
    <w:p w14:paraId="156A866C" w14:textId="77777777" w:rsidR="00D943D5" w:rsidRDefault="00D943D5" w:rsidP="00D943D5">
      <w:pPr>
        <w:pStyle w:val="ListParagraph"/>
        <w:ind w:left="709"/>
        <w:jc w:val="both"/>
        <w:rPr>
          <w:sz w:val="24"/>
          <w:szCs w:val="24"/>
        </w:rPr>
      </w:pPr>
    </w:p>
    <w:p w14:paraId="3F46D02E" w14:textId="77777777" w:rsidR="00E21B91" w:rsidRDefault="00D943D5" w:rsidP="00755D85">
      <w:pPr>
        <w:pStyle w:val="ListParagraph"/>
        <w:numPr>
          <w:ilvl w:val="1"/>
          <w:numId w:val="16"/>
        </w:numPr>
        <w:jc w:val="both"/>
        <w:rPr>
          <w:b/>
          <w:sz w:val="24"/>
          <w:szCs w:val="24"/>
        </w:rPr>
      </w:pPr>
      <w:r w:rsidRPr="00D943D5">
        <w:rPr>
          <w:b/>
          <w:sz w:val="24"/>
          <w:szCs w:val="24"/>
        </w:rPr>
        <w:t>Outline proposals/ Expressions of interest</w:t>
      </w:r>
    </w:p>
    <w:p w14:paraId="5C494C36" w14:textId="6D1ED8E2" w:rsidR="00A4393F" w:rsidRDefault="00E21B91" w:rsidP="00E21B91">
      <w:pPr>
        <w:pStyle w:val="ListParagraph"/>
        <w:ind w:left="360"/>
        <w:jc w:val="both"/>
        <w:rPr>
          <w:sz w:val="24"/>
          <w:szCs w:val="24"/>
        </w:rPr>
      </w:pPr>
      <w:r>
        <w:rPr>
          <w:sz w:val="24"/>
          <w:szCs w:val="24"/>
        </w:rPr>
        <w:t>The procedure and timeline for</w:t>
      </w:r>
      <w:r w:rsidR="00D943D5" w:rsidRPr="00E21B91">
        <w:rPr>
          <w:sz w:val="24"/>
          <w:szCs w:val="24"/>
        </w:rPr>
        <w:t xml:space="preserve"> submission of outline proposals/ expressions of interest/ stage 1 proposals </w:t>
      </w:r>
      <w:r>
        <w:rPr>
          <w:sz w:val="24"/>
          <w:szCs w:val="24"/>
        </w:rPr>
        <w:t>or</w:t>
      </w:r>
      <w:r w:rsidR="00D943D5" w:rsidRPr="00E21B91">
        <w:rPr>
          <w:sz w:val="24"/>
          <w:szCs w:val="24"/>
        </w:rPr>
        <w:t xml:space="preserve"> such is the same as for full proposals, with the exception of </w:t>
      </w:r>
      <w:r>
        <w:rPr>
          <w:sz w:val="24"/>
          <w:szCs w:val="24"/>
        </w:rPr>
        <w:t>the level of financial detail required for the FEC budget submitted for approval (at least 5 days before the deadline). In these cases any staff cost needs to be costed in full detail, but other elements of t</w:t>
      </w:r>
      <w:r w:rsidR="00A4393F">
        <w:rPr>
          <w:sz w:val="24"/>
          <w:szCs w:val="24"/>
        </w:rPr>
        <w:t>he budget such as travel and subsistence, equipment, c</w:t>
      </w:r>
      <w:r>
        <w:rPr>
          <w:sz w:val="24"/>
          <w:szCs w:val="24"/>
        </w:rPr>
        <w:t>onsumables can be summarised in broad categories</w:t>
      </w:r>
      <w:r w:rsidR="00492F87">
        <w:rPr>
          <w:sz w:val="24"/>
          <w:szCs w:val="24"/>
        </w:rPr>
        <w:t xml:space="preserve"> or to the level of detail the funder requires. </w:t>
      </w:r>
      <w:r w:rsidR="00A4393F">
        <w:rPr>
          <w:sz w:val="24"/>
          <w:szCs w:val="24"/>
        </w:rPr>
        <w:t>If the funder restricts changes to the budget between outline stage and full proposal it is important to estimate the budget conservatively. Otherwise there is a risk of locking the proposal into a budget deficit.</w:t>
      </w:r>
    </w:p>
    <w:p w14:paraId="6383CE9D" w14:textId="02FDA2F7" w:rsidR="00492F87" w:rsidRDefault="00492F87" w:rsidP="00E21B91">
      <w:pPr>
        <w:pStyle w:val="ListParagraph"/>
        <w:ind w:left="360"/>
        <w:jc w:val="both"/>
        <w:rPr>
          <w:sz w:val="24"/>
          <w:szCs w:val="24"/>
        </w:rPr>
      </w:pPr>
      <w:r>
        <w:rPr>
          <w:sz w:val="24"/>
          <w:szCs w:val="24"/>
        </w:rPr>
        <w:t xml:space="preserve">Please note that </w:t>
      </w:r>
    </w:p>
    <w:p w14:paraId="7D78CA02" w14:textId="3B6BE91B" w:rsidR="00492F87" w:rsidRDefault="008F5151" w:rsidP="00492F87">
      <w:pPr>
        <w:pStyle w:val="ListParagraph"/>
        <w:numPr>
          <w:ilvl w:val="0"/>
          <w:numId w:val="13"/>
        </w:numPr>
        <w:jc w:val="both"/>
        <w:rPr>
          <w:sz w:val="24"/>
          <w:szCs w:val="24"/>
        </w:rPr>
      </w:pPr>
      <w:r>
        <w:rPr>
          <w:sz w:val="24"/>
          <w:szCs w:val="24"/>
        </w:rPr>
        <w:t>proposals</w:t>
      </w:r>
      <w:r w:rsidR="00492F87">
        <w:rPr>
          <w:sz w:val="24"/>
          <w:szCs w:val="24"/>
        </w:rPr>
        <w:t xml:space="preserve"> including </w:t>
      </w:r>
      <w:r w:rsidR="00E65606">
        <w:rPr>
          <w:sz w:val="24"/>
          <w:szCs w:val="24"/>
        </w:rPr>
        <w:t>patient and public involvement (PPI)</w:t>
      </w:r>
      <w:r w:rsidR="00492F87">
        <w:rPr>
          <w:sz w:val="24"/>
          <w:szCs w:val="24"/>
        </w:rPr>
        <w:t xml:space="preserve"> need to fully </w:t>
      </w:r>
      <w:r>
        <w:rPr>
          <w:sz w:val="24"/>
          <w:szCs w:val="24"/>
        </w:rPr>
        <w:t>cost</w:t>
      </w:r>
      <w:r w:rsidR="00492F87">
        <w:rPr>
          <w:sz w:val="24"/>
          <w:szCs w:val="24"/>
        </w:rPr>
        <w:t xml:space="preserve"> their involvement</w:t>
      </w:r>
    </w:p>
    <w:p w14:paraId="2B59D532" w14:textId="1F7AE13B" w:rsidR="009C3CD5" w:rsidRDefault="00226802" w:rsidP="00492F87">
      <w:pPr>
        <w:pStyle w:val="ListParagraph"/>
        <w:numPr>
          <w:ilvl w:val="0"/>
          <w:numId w:val="13"/>
        </w:numPr>
        <w:jc w:val="both"/>
        <w:rPr>
          <w:sz w:val="24"/>
          <w:szCs w:val="24"/>
        </w:rPr>
      </w:pPr>
      <w:r>
        <w:rPr>
          <w:sz w:val="24"/>
          <w:szCs w:val="24"/>
        </w:rPr>
        <w:t xml:space="preserve">all </w:t>
      </w:r>
      <w:r w:rsidR="00E65606">
        <w:rPr>
          <w:sz w:val="24"/>
          <w:szCs w:val="24"/>
        </w:rPr>
        <w:t>c</w:t>
      </w:r>
      <w:r w:rsidR="00492F87">
        <w:rPr>
          <w:sz w:val="24"/>
          <w:szCs w:val="24"/>
        </w:rPr>
        <w:t>ost incurred by collaborating</w:t>
      </w:r>
      <w:r w:rsidR="00E65606">
        <w:rPr>
          <w:sz w:val="24"/>
          <w:szCs w:val="24"/>
        </w:rPr>
        <w:t xml:space="preserve"> or contracted</w:t>
      </w:r>
      <w:r w:rsidR="00492F87">
        <w:rPr>
          <w:sz w:val="24"/>
          <w:szCs w:val="24"/>
        </w:rPr>
        <w:t xml:space="preserve"> NHS organisations need to be reported separately </w:t>
      </w:r>
      <w:r>
        <w:rPr>
          <w:sz w:val="24"/>
          <w:szCs w:val="24"/>
        </w:rPr>
        <w:t>for all cost categories.</w:t>
      </w:r>
    </w:p>
    <w:p w14:paraId="05BE125E" w14:textId="13567640" w:rsidR="009D6D6C" w:rsidRDefault="00E21B91" w:rsidP="00DA1D16">
      <w:pPr>
        <w:pStyle w:val="ListParagraph"/>
        <w:ind w:left="360"/>
        <w:jc w:val="both"/>
        <w:rPr>
          <w:sz w:val="24"/>
          <w:szCs w:val="24"/>
        </w:rPr>
      </w:pPr>
      <w:r>
        <w:rPr>
          <w:sz w:val="24"/>
          <w:szCs w:val="24"/>
        </w:rPr>
        <w:t xml:space="preserve">If a PI wishes to cost an </w:t>
      </w:r>
      <w:r w:rsidR="00492F87">
        <w:rPr>
          <w:sz w:val="24"/>
          <w:szCs w:val="24"/>
        </w:rPr>
        <w:t>outline proposal in full detail</w:t>
      </w:r>
      <w:r>
        <w:rPr>
          <w:sz w:val="24"/>
          <w:szCs w:val="24"/>
        </w:rPr>
        <w:t xml:space="preserve"> they will receive support from REO for this.</w:t>
      </w:r>
    </w:p>
    <w:p w14:paraId="77033682" w14:textId="77777777" w:rsidR="00DA1D16" w:rsidRDefault="00DA1D16" w:rsidP="00DA1D16">
      <w:pPr>
        <w:pStyle w:val="ListParagraph"/>
        <w:ind w:left="360"/>
        <w:jc w:val="both"/>
        <w:rPr>
          <w:sz w:val="24"/>
          <w:szCs w:val="24"/>
        </w:rPr>
      </w:pPr>
    </w:p>
    <w:p w14:paraId="514F2172" w14:textId="77777777" w:rsidR="00DA1D16" w:rsidRPr="00DA1D16" w:rsidRDefault="00DA1D16" w:rsidP="00DA1D16">
      <w:pPr>
        <w:pStyle w:val="ListParagraph"/>
        <w:ind w:left="360"/>
        <w:jc w:val="both"/>
        <w:rPr>
          <w:b/>
          <w:sz w:val="24"/>
          <w:szCs w:val="24"/>
        </w:rPr>
      </w:pPr>
    </w:p>
    <w:p w14:paraId="4A0F9479" w14:textId="77777777" w:rsidR="00A9657A" w:rsidRDefault="00A9657A" w:rsidP="00755D85">
      <w:pPr>
        <w:pStyle w:val="ListParagraph"/>
        <w:numPr>
          <w:ilvl w:val="0"/>
          <w:numId w:val="16"/>
        </w:numPr>
        <w:jc w:val="both"/>
        <w:rPr>
          <w:b/>
          <w:sz w:val="24"/>
          <w:szCs w:val="24"/>
        </w:rPr>
      </w:pPr>
      <w:r>
        <w:rPr>
          <w:b/>
          <w:sz w:val="24"/>
          <w:szCs w:val="24"/>
        </w:rPr>
        <w:t>Costing and pricing</w:t>
      </w:r>
    </w:p>
    <w:p w14:paraId="1B3D0569" w14:textId="561614AF" w:rsidR="001F6615" w:rsidRPr="00A9657A" w:rsidRDefault="00D34965" w:rsidP="00755D85">
      <w:pPr>
        <w:pStyle w:val="ListParagraph"/>
        <w:numPr>
          <w:ilvl w:val="1"/>
          <w:numId w:val="16"/>
        </w:numPr>
        <w:jc w:val="both"/>
        <w:rPr>
          <w:b/>
          <w:sz w:val="24"/>
          <w:szCs w:val="24"/>
        </w:rPr>
      </w:pPr>
      <w:r w:rsidRPr="001F6615">
        <w:rPr>
          <w:b/>
          <w:sz w:val="24"/>
          <w:szCs w:val="24"/>
        </w:rPr>
        <w:t xml:space="preserve">Overheads </w:t>
      </w:r>
    </w:p>
    <w:p w14:paraId="55B5F864" w14:textId="0DC950F2" w:rsidR="00DA1D16" w:rsidRDefault="00C61B05" w:rsidP="00755D85">
      <w:pPr>
        <w:pStyle w:val="ListParagraph"/>
        <w:ind w:left="360"/>
        <w:jc w:val="both"/>
        <w:rPr>
          <w:sz w:val="24"/>
          <w:szCs w:val="24"/>
        </w:rPr>
      </w:pPr>
      <w:r>
        <w:rPr>
          <w:sz w:val="24"/>
          <w:szCs w:val="24"/>
        </w:rPr>
        <w:t xml:space="preserve">Recovery of overheads is critical to the financial well-being of the University – they represent real costs which have to be met. Applicants for external funding </w:t>
      </w:r>
      <w:r w:rsidR="00853F5E">
        <w:rPr>
          <w:sz w:val="24"/>
          <w:szCs w:val="24"/>
        </w:rPr>
        <w:t xml:space="preserve">must make every effort to maximise such overheads. Where no overheads are recoverable </w:t>
      </w:r>
      <w:r w:rsidR="00ED20F0">
        <w:rPr>
          <w:sz w:val="24"/>
          <w:szCs w:val="24"/>
        </w:rPr>
        <w:t>or overhead recovery rates are low</w:t>
      </w:r>
      <w:r w:rsidR="00A54B53">
        <w:rPr>
          <w:sz w:val="24"/>
          <w:szCs w:val="24"/>
        </w:rPr>
        <w:t>,</w:t>
      </w:r>
      <w:r w:rsidR="00ED20F0">
        <w:rPr>
          <w:sz w:val="24"/>
          <w:szCs w:val="24"/>
        </w:rPr>
        <w:t xml:space="preserve"> sp</w:t>
      </w:r>
      <w:r w:rsidR="00BF5D40">
        <w:rPr>
          <w:sz w:val="24"/>
          <w:szCs w:val="24"/>
        </w:rPr>
        <w:t xml:space="preserve">ecific authority must be sought before a proposal can proceed, unless it </w:t>
      </w:r>
      <w:r w:rsidR="00B52EEA">
        <w:rPr>
          <w:sz w:val="24"/>
          <w:szCs w:val="24"/>
        </w:rPr>
        <w:t xml:space="preserve">is one of  the prestigious funders in REF terms </w:t>
      </w:r>
      <w:r w:rsidR="00BF5D40">
        <w:rPr>
          <w:sz w:val="24"/>
          <w:szCs w:val="24"/>
        </w:rPr>
        <w:t>agreed</w:t>
      </w:r>
      <w:r w:rsidR="004A0E6B">
        <w:rPr>
          <w:sz w:val="24"/>
          <w:szCs w:val="24"/>
        </w:rPr>
        <w:t xml:space="preserve"> by RSTG</w:t>
      </w:r>
      <w:r w:rsidR="00B52EEA">
        <w:rPr>
          <w:sz w:val="24"/>
          <w:szCs w:val="24"/>
        </w:rPr>
        <w:t>:</w:t>
      </w:r>
      <w:r w:rsidR="00414F3F">
        <w:rPr>
          <w:sz w:val="24"/>
          <w:szCs w:val="24"/>
        </w:rPr>
        <w:t xml:space="preserve"> </w:t>
      </w:r>
      <w:r w:rsidR="00B52EEA">
        <w:rPr>
          <w:sz w:val="24"/>
          <w:szCs w:val="24"/>
        </w:rPr>
        <w:t xml:space="preserve">The </w:t>
      </w:r>
      <w:r w:rsidR="00DA1D16">
        <w:rPr>
          <w:sz w:val="24"/>
          <w:szCs w:val="24"/>
        </w:rPr>
        <w:t xml:space="preserve">British Academy, The Royal Society, Leverhulme Trust </w:t>
      </w:r>
      <w:r w:rsidR="00B52EEA">
        <w:rPr>
          <w:sz w:val="24"/>
          <w:szCs w:val="24"/>
        </w:rPr>
        <w:t>and Wellcome Trust</w:t>
      </w:r>
      <w:r w:rsidR="00DA1D16">
        <w:rPr>
          <w:sz w:val="24"/>
          <w:szCs w:val="24"/>
        </w:rPr>
        <w:t>.</w:t>
      </w:r>
    </w:p>
    <w:p w14:paraId="5621CD2F" w14:textId="1C7F99A9" w:rsidR="009D6D6C" w:rsidRDefault="00414F3F" w:rsidP="00755D85">
      <w:pPr>
        <w:pStyle w:val="ListParagraph"/>
        <w:ind w:left="360"/>
        <w:jc w:val="both"/>
        <w:rPr>
          <w:sz w:val="24"/>
          <w:szCs w:val="24"/>
        </w:rPr>
      </w:pPr>
      <w:r>
        <w:rPr>
          <w:sz w:val="24"/>
          <w:szCs w:val="24"/>
        </w:rPr>
        <w:t>Where such authorisation is required</w:t>
      </w:r>
      <w:r w:rsidR="00DA1D16">
        <w:rPr>
          <w:sz w:val="24"/>
          <w:szCs w:val="24"/>
        </w:rPr>
        <w:t>,</w:t>
      </w:r>
      <w:r>
        <w:rPr>
          <w:sz w:val="24"/>
          <w:szCs w:val="24"/>
        </w:rPr>
        <w:t xml:space="preserve"> the escalation should follow the process of </w:t>
      </w:r>
      <w:r w:rsidR="00D9423A">
        <w:rPr>
          <w:sz w:val="24"/>
          <w:szCs w:val="24"/>
        </w:rPr>
        <w:t>Head of School to Dean of College to PVC Research and Impact</w:t>
      </w:r>
      <w:r w:rsidR="00DA1D16">
        <w:rPr>
          <w:sz w:val="24"/>
          <w:szCs w:val="24"/>
        </w:rPr>
        <w:t xml:space="preserve"> and approval should be recorded in a comment on the FEC form</w:t>
      </w:r>
      <w:r>
        <w:rPr>
          <w:sz w:val="24"/>
          <w:szCs w:val="24"/>
        </w:rPr>
        <w:t>.</w:t>
      </w:r>
    </w:p>
    <w:p w14:paraId="3A6C6878" w14:textId="77777777" w:rsidR="00755D85" w:rsidRPr="00755D85" w:rsidRDefault="00755D85" w:rsidP="00755D85">
      <w:pPr>
        <w:pStyle w:val="ListParagraph"/>
        <w:ind w:left="360"/>
        <w:jc w:val="both"/>
        <w:rPr>
          <w:sz w:val="24"/>
          <w:szCs w:val="24"/>
        </w:rPr>
      </w:pPr>
    </w:p>
    <w:p w14:paraId="0001F785" w14:textId="51F11472" w:rsidR="001F6615" w:rsidRPr="00A9657A" w:rsidRDefault="003A3BA1" w:rsidP="00755D85">
      <w:pPr>
        <w:pStyle w:val="ListParagraph"/>
        <w:numPr>
          <w:ilvl w:val="1"/>
          <w:numId w:val="16"/>
        </w:numPr>
        <w:jc w:val="both"/>
        <w:rPr>
          <w:b/>
          <w:sz w:val="24"/>
          <w:szCs w:val="24"/>
        </w:rPr>
      </w:pPr>
      <w:r w:rsidRPr="001F6615">
        <w:rPr>
          <w:b/>
          <w:sz w:val="24"/>
          <w:szCs w:val="24"/>
        </w:rPr>
        <w:t>Staff Cost Recovery</w:t>
      </w:r>
    </w:p>
    <w:p w14:paraId="668166FB" w14:textId="77777777" w:rsidR="00A33EB3" w:rsidRDefault="001F6615" w:rsidP="009C3CD5">
      <w:pPr>
        <w:pStyle w:val="ListParagraph"/>
        <w:ind w:left="360"/>
        <w:jc w:val="both"/>
        <w:rPr>
          <w:sz w:val="24"/>
          <w:szCs w:val="24"/>
        </w:rPr>
      </w:pPr>
      <w:r w:rsidRPr="001F6615">
        <w:rPr>
          <w:sz w:val="24"/>
          <w:szCs w:val="24"/>
        </w:rPr>
        <w:t>An</w:t>
      </w:r>
      <w:r w:rsidR="00F16877">
        <w:rPr>
          <w:sz w:val="24"/>
          <w:szCs w:val="24"/>
        </w:rPr>
        <w:t xml:space="preserve">other important </w:t>
      </w:r>
      <w:r w:rsidRPr="001F6615">
        <w:rPr>
          <w:sz w:val="24"/>
          <w:szCs w:val="24"/>
        </w:rPr>
        <w:t xml:space="preserve">means of recovering actual costs incurred by the University </w:t>
      </w:r>
      <w:r>
        <w:rPr>
          <w:sz w:val="24"/>
          <w:szCs w:val="24"/>
        </w:rPr>
        <w:t xml:space="preserve">in undertaking research </w:t>
      </w:r>
      <w:r w:rsidRPr="001F6615">
        <w:rPr>
          <w:sz w:val="24"/>
          <w:szCs w:val="24"/>
        </w:rPr>
        <w:t xml:space="preserve">is to </w:t>
      </w:r>
      <w:r>
        <w:rPr>
          <w:sz w:val="24"/>
          <w:szCs w:val="24"/>
        </w:rPr>
        <w:t xml:space="preserve">include </w:t>
      </w:r>
      <w:r w:rsidR="00F16877">
        <w:rPr>
          <w:sz w:val="24"/>
          <w:szCs w:val="24"/>
        </w:rPr>
        <w:t xml:space="preserve">all departmental </w:t>
      </w:r>
      <w:r>
        <w:rPr>
          <w:sz w:val="24"/>
          <w:szCs w:val="24"/>
        </w:rPr>
        <w:t xml:space="preserve">staff time </w:t>
      </w:r>
      <w:r w:rsidR="00F16877">
        <w:rPr>
          <w:sz w:val="24"/>
          <w:szCs w:val="24"/>
        </w:rPr>
        <w:t xml:space="preserve">associated with the proposed work </w:t>
      </w:r>
      <w:r>
        <w:rPr>
          <w:sz w:val="24"/>
          <w:szCs w:val="24"/>
        </w:rPr>
        <w:t xml:space="preserve">under Directly Incurred </w:t>
      </w:r>
      <w:r w:rsidR="00F515E1">
        <w:rPr>
          <w:sz w:val="24"/>
          <w:szCs w:val="24"/>
        </w:rPr>
        <w:t>costs</w:t>
      </w:r>
      <w:r w:rsidR="00F16877">
        <w:rPr>
          <w:sz w:val="24"/>
          <w:szCs w:val="24"/>
        </w:rPr>
        <w:t xml:space="preserve"> or Directly Allocated cost</w:t>
      </w:r>
      <w:r w:rsidR="00EE678D">
        <w:rPr>
          <w:sz w:val="24"/>
          <w:szCs w:val="24"/>
        </w:rPr>
        <w:t>s,</w:t>
      </w:r>
      <w:r w:rsidR="00F16877">
        <w:rPr>
          <w:sz w:val="24"/>
          <w:szCs w:val="24"/>
        </w:rPr>
        <w:t xml:space="preserve"> as appropriate for and allowed by the Funder</w:t>
      </w:r>
      <w:r w:rsidR="00F515E1">
        <w:rPr>
          <w:sz w:val="24"/>
          <w:szCs w:val="24"/>
        </w:rPr>
        <w:t>.</w:t>
      </w:r>
      <w:r w:rsidR="00D9423A">
        <w:rPr>
          <w:sz w:val="24"/>
          <w:szCs w:val="24"/>
        </w:rPr>
        <w:t xml:space="preserve"> Such staff cost can include key </w:t>
      </w:r>
      <w:r w:rsidR="00F16877">
        <w:rPr>
          <w:sz w:val="24"/>
          <w:szCs w:val="24"/>
        </w:rPr>
        <w:t xml:space="preserve">administrative </w:t>
      </w:r>
      <w:r w:rsidR="00D9423A">
        <w:rPr>
          <w:sz w:val="24"/>
          <w:szCs w:val="24"/>
        </w:rPr>
        <w:t xml:space="preserve">staff </w:t>
      </w:r>
      <w:r w:rsidR="00F16877">
        <w:rPr>
          <w:sz w:val="24"/>
          <w:szCs w:val="24"/>
        </w:rPr>
        <w:t xml:space="preserve">in departments as well as </w:t>
      </w:r>
      <w:r w:rsidR="00D9423A">
        <w:rPr>
          <w:sz w:val="24"/>
          <w:szCs w:val="24"/>
        </w:rPr>
        <w:t xml:space="preserve">from central services such as REO, where </w:t>
      </w:r>
      <w:r w:rsidR="009C3CD5">
        <w:rPr>
          <w:sz w:val="24"/>
          <w:szCs w:val="24"/>
        </w:rPr>
        <w:t>staff are employed in order to support specific activities and transactions associated w</w:t>
      </w:r>
      <w:r w:rsidR="00A33EB3">
        <w:rPr>
          <w:sz w:val="24"/>
          <w:szCs w:val="24"/>
        </w:rPr>
        <w:t>ith externally funded projects and where the sponsor allows such costs.</w:t>
      </w:r>
    </w:p>
    <w:p w14:paraId="0D5897D6" w14:textId="77777777" w:rsidR="00A33EB3" w:rsidRDefault="00A33EB3" w:rsidP="009C3CD5">
      <w:pPr>
        <w:pStyle w:val="ListParagraph"/>
        <w:ind w:left="360"/>
        <w:jc w:val="both"/>
        <w:rPr>
          <w:sz w:val="24"/>
          <w:szCs w:val="24"/>
        </w:rPr>
      </w:pPr>
    </w:p>
    <w:p w14:paraId="1AC59641" w14:textId="77777777" w:rsidR="003A3BA1" w:rsidRDefault="00A33EB3" w:rsidP="009C3CD5">
      <w:pPr>
        <w:pStyle w:val="ListParagraph"/>
        <w:ind w:left="360"/>
        <w:jc w:val="both"/>
        <w:rPr>
          <w:sz w:val="24"/>
          <w:szCs w:val="24"/>
        </w:rPr>
      </w:pPr>
      <w:r>
        <w:rPr>
          <w:sz w:val="24"/>
          <w:szCs w:val="24"/>
        </w:rPr>
        <w:t>Such cost r</w:t>
      </w:r>
      <w:r w:rsidR="009C3CD5">
        <w:rPr>
          <w:sz w:val="24"/>
          <w:szCs w:val="24"/>
        </w:rPr>
        <w:t>ecovery charges</w:t>
      </w:r>
      <w:r>
        <w:rPr>
          <w:sz w:val="24"/>
          <w:szCs w:val="24"/>
        </w:rPr>
        <w:t xml:space="preserve"> to individual projects will be based on actual time spent (subject to a maximum limit) and will normally be made on the basis of timesheet recording. On most projects such charges will be low (typically in the range of 5% to 10% of a member of staff’s </w:t>
      </w:r>
      <w:r>
        <w:rPr>
          <w:sz w:val="24"/>
          <w:szCs w:val="24"/>
        </w:rPr>
        <w:lastRenderedPageBreak/>
        <w:t>time), though there will be cases where a higher charge needs to be made to reflect higher levels of commitment to projects.</w:t>
      </w:r>
    </w:p>
    <w:p w14:paraId="29220738" w14:textId="77777777" w:rsidR="00F16877" w:rsidRDefault="00F16877" w:rsidP="009C3CD5">
      <w:pPr>
        <w:pStyle w:val="ListParagraph"/>
        <w:ind w:left="360"/>
        <w:jc w:val="both"/>
        <w:rPr>
          <w:sz w:val="24"/>
          <w:szCs w:val="24"/>
        </w:rPr>
      </w:pPr>
      <w:r>
        <w:rPr>
          <w:sz w:val="24"/>
          <w:szCs w:val="24"/>
        </w:rPr>
        <w:t>It is important to cost all staff time realistically.</w:t>
      </w:r>
    </w:p>
    <w:p w14:paraId="197BAD63" w14:textId="77777777" w:rsidR="00DA14F1" w:rsidRDefault="00DA14F1" w:rsidP="009C3CD5">
      <w:pPr>
        <w:pStyle w:val="ListParagraph"/>
        <w:ind w:left="360"/>
        <w:jc w:val="both"/>
        <w:rPr>
          <w:b/>
          <w:sz w:val="24"/>
          <w:szCs w:val="24"/>
        </w:rPr>
      </w:pPr>
    </w:p>
    <w:p w14:paraId="18FEF2F2" w14:textId="32457C71" w:rsidR="00C634D0" w:rsidRPr="00C634D0" w:rsidRDefault="00C634D0" w:rsidP="00C634D0">
      <w:pPr>
        <w:pStyle w:val="ListParagraph"/>
        <w:numPr>
          <w:ilvl w:val="1"/>
          <w:numId w:val="16"/>
        </w:numPr>
        <w:jc w:val="both"/>
        <w:rPr>
          <w:b/>
          <w:sz w:val="24"/>
          <w:szCs w:val="24"/>
        </w:rPr>
      </w:pPr>
      <w:r>
        <w:rPr>
          <w:b/>
          <w:sz w:val="24"/>
          <w:szCs w:val="24"/>
        </w:rPr>
        <w:t>Exchange Rate Protection</w:t>
      </w:r>
    </w:p>
    <w:p w14:paraId="07BADACD" w14:textId="77777777" w:rsidR="00C634D0" w:rsidRDefault="00C634D0" w:rsidP="00C634D0">
      <w:pPr>
        <w:pStyle w:val="ListParagraph"/>
        <w:ind w:left="360"/>
        <w:jc w:val="both"/>
        <w:rPr>
          <w:sz w:val="24"/>
          <w:szCs w:val="24"/>
        </w:rPr>
      </w:pPr>
      <w:r>
        <w:rPr>
          <w:sz w:val="24"/>
          <w:szCs w:val="24"/>
        </w:rPr>
        <w:t>Where sponsors fund projects in non-sterling currencies it is important that the risks associated with exchange rate fluctuations are adequately managed. Exact methodologies will vary depending upon the risk/volatility of specific exchange rates but will normally make an assessment considering average, maximum and minimum exchange rates over a medium term period with a percentage margin added to create an acceptable risk envelope. It is expected that shifts in exchange rate will be managed during the life of the project to minimise any risk of loss, however towards the end of a project losses or gains may manifest themselves.</w:t>
      </w:r>
    </w:p>
    <w:p w14:paraId="26689662" w14:textId="77777777" w:rsidR="00C634D0" w:rsidRDefault="00C634D0" w:rsidP="00C634D0">
      <w:pPr>
        <w:pStyle w:val="ListParagraph"/>
        <w:ind w:left="360"/>
        <w:jc w:val="both"/>
        <w:rPr>
          <w:sz w:val="24"/>
          <w:szCs w:val="24"/>
        </w:rPr>
      </w:pPr>
    </w:p>
    <w:p w14:paraId="155DF204" w14:textId="77777777" w:rsidR="00C634D0" w:rsidRDefault="00C634D0" w:rsidP="00C634D0">
      <w:pPr>
        <w:pStyle w:val="ListParagraph"/>
        <w:ind w:left="360"/>
        <w:jc w:val="both"/>
        <w:rPr>
          <w:sz w:val="24"/>
          <w:szCs w:val="24"/>
        </w:rPr>
      </w:pPr>
      <w:r>
        <w:rPr>
          <w:sz w:val="24"/>
          <w:szCs w:val="24"/>
        </w:rPr>
        <w:t xml:space="preserve">Exchange Rate Losses – These are normally passed on directly to the School or College. </w:t>
      </w:r>
    </w:p>
    <w:p w14:paraId="501A30B6" w14:textId="77777777" w:rsidR="00C634D0" w:rsidRDefault="00C634D0" w:rsidP="00C634D0">
      <w:pPr>
        <w:pStyle w:val="ListParagraph"/>
        <w:ind w:left="360"/>
        <w:jc w:val="both"/>
        <w:rPr>
          <w:sz w:val="24"/>
          <w:szCs w:val="24"/>
        </w:rPr>
      </w:pPr>
    </w:p>
    <w:p w14:paraId="17CB84DF" w14:textId="77777777" w:rsidR="00C634D0" w:rsidRPr="00C634D0" w:rsidRDefault="00C634D0" w:rsidP="00C634D0">
      <w:pPr>
        <w:pStyle w:val="ListParagraph"/>
        <w:ind w:left="360"/>
        <w:jc w:val="both"/>
        <w:rPr>
          <w:sz w:val="24"/>
          <w:szCs w:val="24"/>
        </w:rPr>
      </w:pPr>
      <w:r w:rsidRPr="00C634D0">
        <w:rPr>
          <w:sz w:val="24"/>
          <w:szCs w:val="24"/>
        </w:rPr>
        <w:t xml:space="preserve">Exchange Rate Gains – It is rare that a sponsor allows us to keep exchange rate gains without conditions, if at all. </w:t>
      </w:r>
    </w:p>
    <w:p w14:paraId="75B50ED0" w14:textId="2EC3C8E7" w:rsidR="00C634D0" w:rsidRPr="00C634D0" w:rsidRDefault="00C634D0" w:rsidP="00C634D0">
      <w:pPr>
        <w:pStyle w:val="ListParagraph"/>
        <w:ind w:left="360"/>
        <w:jc w:val="both"/>
        <w:rPr>
          <w:sz w:val="24"/>
          <w:szCs w:val="24"/>
        </w:rPr>
      </w:pPr>
      <w:r w:rsidRPr="00C634D0">
        <w:rPr>
          <w:sz w:val="24"/>
          <w:szCs w:val="24"/>
        </w:rPr>
        <w:t>Some funders allow these funds to be used for the project - to improve the quality or quantity of work done, sometimes even to extend the scope. For example these funds could be used by the project to undertake additional activities and incur costs not in the original budget such as contract extensions or additional T&amp;S costs. Where such additional expenditure is proposed</w:t>
      </w:r>
      <w:r>
        <w:rPr>
          <w:sz w:val="24"/>
          <w:szCs w:val="24"/>
        </w:rPr>
        <w:t>,</w:t>
      </w:r>
      <w:r w:rsidRPr="00C634D0">
        <w:rPr>
          <w:sz w:val="24"/>
          <w:szCs w:val="24"/>
        </w:rPr>
        <w:t xml:space="preserve"> it must be formally sanctioned by the Head of School, not the project PI.</w:t>
      </w:r>
    </w:p>
    <w:p w14:paraId="3E063D6B" w14:textId="59DC1A0D" w:rsidR="00C634D0" w:rsidRPr="00C634D0" w:rsidRDefault="00C634D0" w:rsidP="00C634D0">
      <w:pPr>
        <w:pStyle w:val="ListParagraph"/>
        <w:ind w:left="360"/>
        <w:jc w:val="both"/>
        <w:rPr>
          <w:sz w:val="24"/>
          <w:szCs w:val="24"/>
        </w:rPr>
      </w:pPr>
      <w:r w:rsidRPr="00C634D0">
        <w:rPr>
          <w:sz w:val="24"/>
          <w:szCs w:val="24"/>
        </w:rPr>
        <w:t xml:space="preserve">In the instances where </w:t>
      </w:r>
      <w:r w:rsidR="00F379CA">
        <w:rPr>
          <w:sz w:val="24"/>
          <w:szCs w:val="24"/>
        </w:rPr>
        <w:t>Bangor University is</w:t>
      </w:r>
      <w:r w:rsidRPr="00C634D0">
        <w:rPr>
          <w:sz w:val="24"/>
          <w:szCs w:val="24"/>
        </w:rPr>
        <w:t xml:space="preserve"> allowed to keep exchange rate gains without conditions, given that any losses are passed directly to the School or College, where such gains are made these should be passed in the first instance to the School to allow a balance to offset past and future losses. They should not automatically </w:t>
      </w:r>
      <w:r>
        <w:rPr>
          <w:sz w:val="24"/>
          <w:szCs w:val="24"/>
        </w:rPr>
        <w:t xml:space="preserve">be used </w:t>
      </w:r>
      <w:r w:rsidRPr="00C634D0">
        <w:rPr>
          <w:sz w:val="24"/>
          <w:szCs w:val="24"/>
        </w:rPr>
        <w:t>for the project.</w:t>
      </w:r>
    </w:p>
    <w:p w14:paraId="106F1574" w14:textId="77777777" w:rsidR="00C634D0" w:rsidRPr="001F6615" w:rsidRDefault="00C634D0" w:rsidP="00C634D0">
      <w:pPr>
        <w:pStyle w:val="ListParagraph"/>
        <w:ind w:left="360"/>
        <w:jc w:val="both"/>
        <w:rPr>
          <w:sz w:val="24"/>
          <w:szCs w:val="24"/>
        </w:rPr>
      </w:pPr>
    </w:p>
    <w:p w14:paraId="52269CE9" w14:textId="77777777" w:rsidR="008F5151" w:rsidRPr="00307812" w:rsidRDefault="008F5151" w:rsidP="008F5151">
      <w:pPr>
        <w:pStyle w:val="ListParagraph"/>
        <w:numPr>
          <w:ilvl w:val="1"/>
          <w:numId w:val="16"/>
        </w:numPr>
        <w:jc w:val="both"/>
        <w:rPr>
          <w:b/>
          <w:sz w:val="24"/>
          <w:szCs w:val="24"/>
        </w:rPr>
      </w:pPr>
      <w:r w:rsidRPr="00307812">
        <w:rPr>
          <w:b/>
          <w:sz w:val="24"/>
          <w:szCs w:val="24"/>
        </w:rPr>
        <w:t>Threshold cost recovery rates for research</w:t>
      </w:r>
    </w:p>
    <w:p w14:paraId="2E5E6D7D" w14:textId="77777777" w:rsidR="008F5151" w:rsidRPr="008F5151" w:rsidRDefault="008F5151" w:rsidP="008F5151">
      <w:pPr>
        <w:pStyle w:val="ListParagraph"/>
        <w:ind w:left="360"/>
        <w:jc w:val="both"/>
        <w:rPr>
          <w:sz w:val="24"/>
          <w:szCs w:val="24"/>
        </w:rPr>
      </w:pPr>
      <w:r w:rsidRPr="008F5151">
        <w:rPr>
          <w:sz w:val="24"/>
          <w:szCs w:val="24"/>
        </w:rPr>
        <w:t xml:space="preserve">Bangor University strongly encourages staff to seek external funding for any research activity they want to undertake. The institution aims to maximise cost recovery for all projects, which is measured through the cost recovery rate (% of Full Economic Cost (FEC) funded). </w:t>
      </w:r>
    </w:p>
    <w:p w14:paraId="779B1BE4" w14:textId="41850906" w:rsidR="008F5151" w:rsidRPr="008F5151" w:rsidRDefault="008F5151" w:rsidP="008F5151">
      <w:pPr>
        <w:pStyle w:val="ListParagraph"/>
        <w:ind w:left="360"/>
        <w:jc w:val="both"/>
        <w:rPr>
          <w:sz w:val="24"/>
          <w:szCs w:val="24"/>
        </w:rPr>
      </w:pPr>
      <w:r w:rsidRPr="008F5151">
        <w:rPr>
          <w:sz w:val="24"/>
          <w:szCs w:val="24"/>
        </w:rPr>
        <w:t xml:space="preserve">In order to improve overall cost recovery on research projects, in particular to encourage lift up of cost recovery for projects with the lowest funding rates, Bangor University is introducing thresholds as of 1 </w:t>
      </w:r>
      <w:r w:rsidR="00DF0A1D">
        <w:rPr>
          <w:sz w:val="24"/>
          <w:szCs w:val="24"/>
        </w:rPr>
        <w:t>August</w:t>
      </w:r>
      <w:r w:rsidRPr="008F5151">
        <w:rPr>
          <w:sz w:val="24"/>
          <w:szCs w:val="24"/>
        </w:rPr>
        <w:t xml:space="preserve"> 2017.</w:t>
      </w:r>
      <w:r w:rsidR="00DF6B67">
        <w:rPr>
          <w:sz w:val="24"/>
          <w:szCs w:val="24"/>
        </w:rPr>
        <w:t xml:space="preserve"> Please note that these rates are not targets to aim for, but thresholds below which justification and approval to proceed is required.</w:t>
      </w:r>
    </w:p>
    <w:p w14:paraId="1489DE9C" w14:textId="77777777" w:rsidR="008F5151" w:rsidRPr="008F5151" w:rsidRDefault="008F5151" w:rsidP="008F5151">
      <w:pPr>
        <w:pStyle w:val="ListParagraph"/>
        <w:ind w:left="360"/>
        <w:jc w:val="both"/>
        <w:rPr>
          <w:rFonts w:cs="Times New Roman"/>
          <w:sz w:val="24"/>
          <w:szCs w:val="24"/>
        </w:rPr>
      </w:pPr>
      <w:r w:rsidRPr="008F5151">
        <w:rPr>
          <w:sz w:val="24"/>
          <w:szCs w:val="24"/>
        </w:rPr>
        <w:t xml:space="preserve">Factors affecting cost recovery and reasons for targeting a specific funding opportunity are multifaceted and complex. </w:t>
      </w:r>
      <w:r w:rsidRPr="008F5151">
        <w:rPr>
          <w:rFonts w:cs="Times New Roman"/>
          <w:sz w:val="24"/>
          <w:szCs w:val="24"/>
        </w:rPr>
        <w:t>When deciding whether a project with low cost recovery rate is worth pursuing, the outcome will vary depending on research area, type of planned activity, career stage of the applicant and strategic priorities of the institution.</w:t>
      </w:r>
    </w:p>
    <w:p w14:paraId="082DC5FD" w14:textId="77777777" w:rsidR="008F5151" w:rsidRPr="008F5151" w:rsidRDefault="008F5151" w:rsidP="008F5151">
      <w:pPr>
        <w:ind w:left="360"/>
        <w:jc w:val="both"/>
        <w:rPr>
          <w:b/>
          <w:sz w:val="24"/>
          <w:szCs w:val="24"/>
        </w:rPr>
      </w:pPr>
      <w:r w:rsidRPr="008F5151">
        <w:rPr>
          <w:b/>
          <w:sz w:val="24"/>
          <w:szCs w:val="24"/>
        </w:rPr>
        <w:t>Process</w:t>
      </w:r>
    </w:p>
    <w:p w14:paraId="5F11410B" w14:textId="77777777" w:rsidR="008F5151" w:rsidRPr="008F5151" w:rsidRDefault="008F5151" w:rsidP="008F5151">
      <w:pPr>
        <w:pStyle w:val="ListParagraph"/>
        <w:numPr>
          <w:ilvl w:val="0"/>
          <w:numId w:val="3"/>
        </w:numPr>
        <w:spacing w:after="200" w:line="240" w:lineRule="auto"/>
        <w:ind w:left="1080"/>
        <w:jc w:val="both"/>
        <w:rPr>
          <w:sz w:val="24"/>
          <w:szCs w:val="24"/>
        </w:rPr>
      </w:pPr>
      <w:r w:rsidRPr="008F5151">
        <w:rPr>
          <w:sz w:val="24"/>
          <w:szCs w:val="24"/>
        </w:rPr>
        <w:t xml:space="preserve">Not withstanding the cost recovery rate, </w:t>
      </w:r>
      <w:r w:rsidRPr="008F5151">
        <w:rPr>
          <w:b/>
          <w:sz w:val="24"/>
          <w:szCs w:val="24"/>
        </w:rPr>
        <w:t>if a project budget does not cover additional direct cost</w:t>
      </w:r>
      <w:r w:rsidRPr="008F5151">
        <w:rPr>
          <w:sz w:val="24"/>
          <w:szCs w:val="24"/>
        </w:rPr>
        <w:t xml:space="preserve"> (cash cost) to the university and no external match funding is available to cover this cost, the project is financially not viable. Such projects are usually not supported by Bangor University.</w:t>
      </w:r>
    </w:p>
    <w:p w14:paraId="33F91D70" w14:textId="77777777" w:rsidR="008F5151" w:rsidRPr="00DF0A1D" w:rsidRDefault="008F5151" w:rsidP="008F5151">
      <w:pPr>
        <w:pStyle w:val="ListParagraph"/>
        <w:numPr>
          <w:ilvl w:val="1"/>
          <w:numId w:val="3"/>
        </w:numPr>
        <w:spacing w:after="200" w:line="240" w:lineRule="auto"/>
        <w:ind w:left="1800"/>
        <w:jc w:val="both"/>
        <w:rPr>
          <w:sz w:val="24"/>
          <w:szCs w:val="24"/>
        </w:rPr>
      </w:pPr>
      <w:r w:rsidRPr="00DF0A1D">
        <w:rPr>
          <w:sz w:val="24"/>
          <w:szCs w:val="24"/>
        </w:rPr>
        <w:lastRenderedPageBreak/>
        <w:t xml:space="preserve">If the PI nevertheless wants to pursue the proposal, it is their responsibility to make the case for and negotiate the provision of the internal match funding with their Head of School/ equivalent manager or relevant representatives of university management.  In order to receive final institution-level sign off, evidence (email or letter stating the reason) of such a match funding decision needs to be submitted together with a FEC form signed by the Head of School. </w:t>
      </w:r>
    </w:p>
    <w:p w14:paraId="76EB0E60" w14:textId="77777777" w:rsidR="008F5151" w:rsidRPr="00DF0A1D" w:rsidRDefault="008F5151" w:rsidP="008F5151">
      <w:pPr>
        <w:pStyle w:val="ListParagraph"/>
        <w:numPr>
          <w:ilvl w:val="1"/>
          <w:numId w:val="3"/>
        </w:numPr>
        <w:spacing w:after="200" w:line="240" w:lineRule="auto"/>
        <w:ind w:left="1800"/>
        <w:jc w:val="both"/>
        <w:rPr>
          <w:sz w:val="24"/>
          <w:szCs w:val="24"/>
        </w:rPr>
      </w:pPr>
      <w:r w:rsidRPr="00DF0A1D">
        <w:rPr>
          <w:sz w:val="24"/>
          <w:szCs w:val="24"/>
        </w:rPr>
        <w:t>If Bangor University makes a strategic or political decision to participate in a financially non-viable funding scheme or call and/or to provide internal match funding, the above justification is not required. This will be communicated to staff when the call is advertised. Advice on these cases and from which budget the internal match-funding will have to be covered, will be available from College Research Support Officers (CRSOs)</w:t>
      </w:r>
    </w:p>
    <w:p w14:paraId="32937E06" w14:textId="77777777" w:rsidR="008F5151" w:rsidRPr="00DF0A1D" w:rsidRDefault="008F5151" w:rsidP="008F5151">
      <w:pPr>
        <w:pStyle w:val="ListParagraph"/>
        <w:numPr>
          <w:ilvl w:val="0"/>
          <w:numId w:val="3"/>
        </w:numPr>
        <w:spacing w:after="200" w:line="240" w:lineRule="auto"/>
        <w:ind w:left="1080"/>
        <w:jc w:val="both"/>
        <w:rPr>
          <w:sz w:val="24"/>
          <w:szCs w:val="24"/>
        </w:rPr>
      </w:pPr>
      <w:r w:rsidRPr="00DF0A1D">
        <w:rPr>
          <w:b/>
          <w:sz w:val="24"/>
          <w:szCs w:val="24"/>
        </w:rPr>
        <w:t>If a proposal budget</w:t>
      </w:r>
      <w:r w:rsidRPr="00DF0A1D">
        <w:rPr>
          <w:sz w:val="24"/>
          <w:szCs w:val="24"/>
        </w:rPr>
        <w:t xml:space="preserve"> covers all additional direct cost (cash cost) to the university, but </w:t>
      </w:r>
      <w:r w:rsidRPr="00DF0A1D">
        <w:rPr>
          <w:b/>
          <w:sz w:val="24"/>
          <w:szCs w:val="24"/>
        </w:rPr>
        <w:t>does not reach the threshold cost recovery rates</w:t>
      </w:r>
      <w:r w:rsidRPr="00DF0A1D">
        <w:rPr>
          <w:sz w:val="24"/>
          <w:szCs w:val="24"/>
        </w:rPr>
        <w:t xml:space="preserve"> below, the PI needs to revise the budget and/ or needs to obtain support from their Head of School, Dean of College or PVC Research and Impact to proceed. This will be investigated throughout the budgeting process as follows:</w:t>
      </w:r>
    </w:p>
    <w:p w14:paraId="5F567D7A" w14:textId="77777777" w:rsidR="008F5151" w:rsidRPr="00DF0A1D" w:rsidRDefault="008F5151" w:rsidP="008F5151">
      <w:pPr>
        <w:pStyle w:val="ListParagraph"/>
        <w:numPr>
          <w:ilvl w:val="1"/>
          <w:numId w:val="3"/>
        </w:numPr>
        <w:spacing w:after="200" w:line="240" w:lineRule="auto"/>
        <w:ind w:left="1800"/>
        <w:jc w:val="both"/>
        <w:rPr>
          <w:sz w:val="24"/>
          <w:szCs w:val="24"/>
        </w:rPr>
      </w:pPr>
      <w:r w:rsidRPr="00DF0A1D">
        <w:rPr>
          <w:rFonts w:cs="Times New Roman"/>
          <w:sz w:val="24"/>
          <w:szCs w:val="24"/>
        </w:rPr>
        <w:t>When a draft FEC budget of a proposal indicates that the cost recovery rate might fall below the following thresholds, the PI should investigate, with support from the CRSO, whether there are opportunities to improve the budget in the first instance. It is important that the proposal cost is estimated as accurately as possible.</w:t>
      </w:r>
    </w:p>
    <w:p w14:paraId="26C5FCB4" w14:textId="77777777" w:rsidR="007E3058" w:rsidRPr="00DF0A1D" w:rsidRDefault="007E3058" w:rsidP="007E3058">
      <w:pPr>
        <w:pStyle w:val="ListParagraph"/>
        <w:numPr>
          <w:ilvl w:val="0"/>
          <w:numId w:val="4"/>
        </w:numPr>
        <w:spacing w:after="200" w:line="240" w:lineRule="auto"/>
        <w:ind w:left="3060"/>
        <w:jc w:val="both"/>
        <w:rPr>
          <w:rFonts w:cs="Times New Roman"/>
          <w:sz w:val="24"/>
          <w:szCs w:val="24"/>
        </w:rPr>
      </w:pPr>
      <w:r w:rsidRPr="00DF0A1D">
        <w:rPr>
          <w:rFonts w:cs="Times New Roman"/>
          <w:sz w:val="24"/>
          <w:szCs w:val="24"/>
        </w:rPr>
        <w:t>Industry</w:t>
      </w:r>
      <w:r w:rsidRPr="00DF0A1D">
        <w:rPr>
          <w:rFonts w:cs="Times New Roman"/>
          <w:sz w:val="24"/>
          <w:szCs w:val="24"/>
        </w:rPr>
        <w:tab/>
      </w:r>
      <w:r w:rsidRPr="00DF0A1D">
        <w:rPr>
          <w:rFonts w:cs="Times New Roman"/>
          <w:sz w:val="24"/>
          <w:szCs w:val="24"/>
        </w:rPr>
        <w:tab/>
      </w:r>
      <w:r w:rsidRPr="00DF0A1D">
        <w:rPr>
          <w:rFonts w:cs="Times New Roman"/>
          <w:sz w:val="24"/>
          <w:szCs w:val="24"/>
        </w:rPr>
        <w:tab/>
      </w:r>
      <w:r>
        <w:rPr>
          <w:rFonts w:cs="Times New Roman"/>
          <w:sz w:val="24"/>
          <w:szCs w:val="24"/>
        </w:rPr>
        <w:tab/>
      </w:r>
      <w:r w:rsidRPr="00DF0A1D">
        <w:rPr>
          <w:rFonts w:cs="Times New Roman"/>
          <w:sz w:val="24"/>
          <w:szCs w:val="24"/>
        </w:rPr>
        <w:t>80% FEC</w:t>
      </w:r>
    </w:p>
    <w:p w14:paraId="14188E3C" w14:textId="62645EFE" w:rsidR="008F5151" w:rsidRPr="00DF0A1D" w:rsidRDefault="00DF0A1D" w:rsidP="008F5151">
      <w:pPr>
        <w:pStyle w:val="ListParagraph"/>
        <w:numPr>
          <w:ilvl w:val="0"/>
          <w:numId w:val="4"/>
        </w:numPr>
        <w:spacing w:after="200" w:line="240" w:lineRule="auto"/>
        <w:ind w:left="3060"/>
        <w:jc w:val="both"/>
        <w:rPr>
          <w:rFonts w:cs="Times New Roman"/>
          <w:sz w:val="24"/>
          <w:szCs w:val="24"/>
        </w:rPr>
      </w:pPr>
      <w:r>
        <w:rPr>
          <w:rFonts w:cs="Times New Roman"/>
          <w:sz w:val="24"/>
          <w:szCs w:val="24"/>
        </w:rPr>
        <w:t>RCUK standard grants</w:t>
      </w:r>
      <w:r w:rsidR="007E3058">
        <w:rPr>
          <w:rFonts w:cs="Times New Roman"/>
          <w:sz w:val="24"/>
          <w:szCs w:val="24"/>
        </w:rPr>
        <w:t xml:space="preserve"> &amp; NIHR</w:t>
      </w:r>
      <w:r>
        <w:rPr>
          <w:rFonts w:cs="Times New Roman"/>
          <w:sz w:val="24"/>
          <w:szCs w:val="24"/>
        </w:rPr>
        <w:tab/>
      </w:r>
      <w:r w:rsidR="008F5151" w:rsidRPr="00DF0A1D">
        <w:rPr>
          <w:rFonts w:cs="Times New Roman"/>
          <w:sz w:val="24"/>
          <w:szCs w:val="24"/>
        </w:rPr>
        <w:t>75% FEC</w:t>
      </w:r>
    </w:p>
    <w:p w14:paraId="374ACA00" w14:textId="77777777" w:rsidR="007E3058" w:rsidRPr="00DF0A1D" w:rsidRDefault="007E3058" w:rsidP="007E3058">
      <w:pPr>
        <w:pStyle w:val="ListParagraph"/>
        <w:numPr>
          <w:ilvl w:val="0"/>
          <w:numId w:val="4"/>
        </w:numPr>
        <w:spacing w:after="200" w:line="240" w:lineRule="auto"/>
        <w:ind w:left="3060"/>
        <w:jc w:val="both"/>
        <w:rPr>
          <w:rFonts w:cs="Times New Roman"/>
          <w:sz w:val="24"/>
          <w:szCs w:val="24"/>
        </w:rPr>
      </w:pPr>
      <w:r w:rsidRPr="00DF0A1D">
        <w:rPr>
          <w:rFonts w:cs="Times New Roman"/>
          <w:sz w:val="24"/>
          <w:szCs w:val="24"/>
        </w:rPr>
        <w:t>UK Government</w:t>
      </w:r>
      <w:r w:rsidRPr="00DF0A1D">
        <w:rPr>
          <w:rFonts w:cs="Times New Roman"/>
          <w:sz w:val="24"/>
          <w:szCs w:val="24"/>
        </w:rPr>
        <w:tab/>
      </w:r>
      <w:r w:rsidRPr="00DF0A1D">
        <w:rPr>
          <w:rFonts w:cs="Times New Roman"/>
          <w:sz w:val="24"/>
          <w:szCs w:val="24"/>
        </w:rPr>
        <w:tab/>
      </w:r>
      <w:r>
        <w:rPr>
          <w:rFonts w:cs="Times New Roman"/>
          <w:sz w:val="24"/>
          <w:szCs w:val="24"/>
        </w:rPr>
        <w:tab/>
      </w:r>
      <w:r w:rsidRPr="00DF0A1D">
        <w:rPr>
          <w:rFonts w:cs="Times New Roman"/>
          <w:sz w:val="24"/>
          <w:szCs w:val="24"/>
        </w:rPr>
        <w:t>70% FEC</w:t>
      </w:r>
    </w:p>
    <w:p w14:paraId="4B3432FF" w14:textId="77777777" w:rsidR="007E3058" w:rsidRPr="00DF0A1D" w:rsidRDefault="007E3058" w:rsidP="007E3058">
      <w:pPr>
        <w:pStyle w:val="ListParagraph"/>
        <w:numPr>
          <w:ilvl w:val="0"/>
          <w:numId w:val="4"/>
        </w:numPr>
        <w:spacing w:after="200" w:line="240" w:lineRule="auto"/>
        <w:ind w:left="3060"/>
        <w:jc w:val="both"/>
        <w:rPr>
          <w:rFonts w:cs="Times New Roman"/>
          <w:sz w:val="24"/>
          <w:szCs w:val="24"/>
        </w:rPr>
      </w:pPr>
      <w:r w:rsidRPr="00DF0A1D">
        <w:rPr>
          <w:rFonts w:cs="Times New Roman"/>
          <w:sz w:val="24"/>
          <w:szCs w:val="24"/>
        </w:rPr>
        <w:t>H2020</w:t>
      </w:r>
      <w:r w:rsidRPr="00DF0A1D">
        <w:rPr>
          <w:rFonts w:cs="Times New Roman"/>
          <w:sz w:val="24"/>
          <w:szCs w:val="24"/>
        </w:rPr>
        <w:tab/>
      </w:r>
      <w:r w:rsidRPr="00DF0A1D">
        <w:rPr>
          <w:rFonts w:cs="Times New Roman"/>
          <w:sz w:val="24"/>
          <w:szCs w:val="24"/>
        </w:rPr>
        <w:tab/>
      </w:r>
      <w:r w:rsidRPr="00DF0A1D">
        <w:rPr>
          <w:rFonts w:cs="Times New Roman"/>
          <w:sz w:val="24"/>
          <w:szCs w:val="24"/>
        </w:rPr>
        <w:tab/>
      </w:r>
      <w:r>
        <w:rPr>
          <w:rFonts w:cs="Times New Roman"/>
          <w:sz w:val="24"/>
          <w:szCs w:val="24"/>
        </w:rPr>
        <w:tab/>
      </w:r>
      <w:r w:rsidRPr="00DF0A1D">
        <w:rPr>
          <w:rFonts w:cs="Times New Roman"/>
          <w:sz w:val="24"/>
          <w:szCs w:val="24"/>
        </w:rPr>
        <w:t xml:space="preserve">70% FEC </w:t>
      </w:r>
    </w:p>
    <w:p w14:paraId="0D155044" w14:textId="3F9D2A6A" w:rsidR="008F5151" w:rsidRPr="00DF0A1D" w:rsidRDefault="008F5151" w:rsidP="008F5151">
      <w:pPr>
        <w:pStyle w:val="ListParagraph"/>
        <w:numPr>
          <w:ilvl w:val="0"/>
          <w:numId w:val="4"/>
        </w:numPr>
        <w:spacing w:after="200" w:line="240" w:lineRule="auto"/>
        <w:ind w:left="3060"/>
        <w:jc w:val="both"/>
        <w:rPr>
          <w:rFonts w:cs="Times New Roman"/>
          <w:sz w:val="24"/>
          <w:szCs w:val="24"/>
        </w:rPr>
      </w:pPr>
      <w:r w:rsidRPr="00DF0A1D">
        <w:rPr>
          <w:rFonts w:cs="Times New Roman"/>
          <w:sz w:val="24"/>
          <w:szCs w:val="24"/>
        </w:rPr>
        <w:t>Royal Soc./ British Acad.</w:t>
      </w:r>
      <w:r w:rsidRPr="00DF0A1D">
        <w:rPr>
          <w:rFonts w:cs="Times New Roman"/>
          <w:sz w:val="24"/>
          <w:szCs w:val="24"/>
        </w:rPr>
        <w:tab/>
      </w:r>
      <w:r w:rsidR="007E3058">
        <w:rPr>
          <w:rFonts w:cs="Times New Roman"/>
          <w:sz w:val="24"/>
          <w:szCs w:val="24"/>
        </w:rPr>
        <w:tab/>
      </w:r>
      <w:r w:rsidRPr="00DF0A1D">
        <w:rPr>
          <w:rFonts w:cs="Times New Roman"/>
          <w:sz w:val="24"/>
          <w:szCs w:val="24"/>
        </w:rPr>
        <w:t>60% FEC</w:t>
      </w:r>
    </w:p>
    <w:p w14:paraId="15859D21" w14:textId="21B16BE5" w:rsidR="008F5151" w:rsidRPr="00DF0A1D" w:rsidRDefault="008F5151" w:rsidP="008F5151">
      <w:pPr>
        <w:pStyle w:val="ListParagraph"/>
        <w:numPr>
          <w:ilvl w:val="0"/>
          <w:numId w:val="4"/>
        </w:numPr>
        <w:spacing w:after="200" w:line="240" w:lineRule="auto"/>
        <w:ind w:left="3060"/>
        <w:jc w:val="both"/>
        <w:rPr>
          <w:rFonts w:cs="Times New Roman"/>
          <w:sz w:val="24"/>
          <w:szCs w:val="24"/>
        </w:rPr>
      </w:pPr>
      <w:r w:rsidRPr="00DF0A1D">
        <w:rPr>
          <w:rFonts w:cs="Times New Roman"/>
          <w:sz w:val="24"/>
          <w:szCs w:val="24"/>
        </w:rPr>
        <w:t>H2020 MSCA</w:t>
      </w:r>
      <w:r w:rsidRPr="00DF0A1D">
        <w:rPr>
          <w:rFonts w:cs="Times New Roman"/>
          <w:sz w:val="24"/>
          <w:szCs w:val="24"/>
        </w:rPr>
        <w:tab/>
      </w:r>
      <w:r w:rsidRPr="00DF0A1D">
        <w:rPr>
          <w:rFonts w:cs="Times New Roman"/>
          <w:sz w:val="24"/>
          <w:szCs w:val="24"/>
        </w:rPr>
        <w:tab/>
      </w:r>
      <w:r w:rsidR="007E3058">
        <w:rPr>
          <w:rFonts w:cs="Times New Roman"/>
          <w:sz w:val="24"/>
          <w:szCs w:val="24"/>
        </w:rPr>
        <w:tab/>
      </w:r>
      <w:r w:rsidRPr="00DF0A1D">
        <w:rPr>
          <w:rFonts w:cs="Times New Roman"/>
          <w:sz w:val="24"/>
          <w:szCs w:val="24"/>
        </w:rPr>
        <w:t>60% FEC</w:t>
      </w:r>
    </w:p>
    <w:p w14:paraId="41E9B595" w14:textId="2E84E82A" w:rsidR="008F5151" w:rsidRPr="00DF0A1D" w:rsidRDefault="008F5151" w:rsidP="008F5151">
      <w:pPr>
        <w:pStyle w:val="ListParagraph"/>
        <w:numPr>
          <w:ilvl w:val="0"/>
          <w:numId w:val="4"/>
        </w:numPr>
        <w:spacing w:after="200" w:line="240" w:lineRule="auto"/>
        <w:ind w:left="3060"/>
        <w:jc w:val="both"/>
        <w:rPr>
          <w:rFonts w:cs="Times New Roman"/>
          <w:sz w:val="24"/>
          <w:szCs w:val="24"/>
        </w:rPr>
      </w:pPr>
      <w:r w:rsidRPr="00DF0A1D">
        <w:rPr>
          <w:rFonts w:cs="Times New Roman"/>
          <w:sz w:val="24"/>
          <w:szCs w:val="24"/>
        </w:rPr>
        <w:t>Other EU government</w:t>
      </w:r>
      <w:r w:rsidRPr="00DF0A1D">
        <w:rPr>
          <w:rFonts w:cs="Times New Roman"/>
          <w:sz w:val="24"/>
          <w:szCs w:val="24"/>
        </w:rPr>
        <w:tab/>
      </w:r>
      <w:r w:rsidR="007E3058">
        <w:rPr>
          <w:rFonts w:cs="Times New Roman"/>
          <w:sz w:val="24"/>
          <w:szCs w:val="24"/>
        </w:rPr>
        <w:tab/>
      </w:r>
      <w:r w:rsidRPr="00DF0A1D">
        <w:rPr>
          <w:rFonts w:cs="Times New Roman"/>
          <w:sz w:val="24"/>
          <w:szCs w:val="24"/>
        </w:rPr>
        <w:t>60% FEC</w:t>
      </w:r>
    </w:p>
    <w:p w14:paraId="3DE7F09E" w14:textId="3BCB6109" w:rsidR="008F5151" w:rsidRPr="00DF0A1D" w:rsidRDefault="008F5151" w:rsidP="008F5151">
      <w:pPr>
        <w:pStyle w:val="ListParagraph"/>
        <w:numPr>
          <w:ilvl w:val="0"/>
          <w:numId w:val="4"/>
        </w:numPr>
        <w:spacing w:after="200" w:line="240" w:lineRule="auto"/>
        <w:ind w:left="3060"/>
        <w:jc w:val="both"/>
        <w:rPr>
          <w:rFonts w:cs="Times New Roman"/>
          <w:sz w:val="24"/>
          <w:szCs w:val="24"/>
        </w:rPr>
      </w:pPr>
      <w:r w:rsidRPr="00DF0A1D">
        <w:rPr>
          <w:rFonts w:cs="Times New Roman"/>
          <w:sz w:val="24"/>
          <w:szCs w:val="24"/>
        </w:rPr>
        <w:t>Structural Funds</w:t>
      </w:r>
      <w:r w:rsidRPr="00DF0A1D">
        <w:rPr>
          <w:rFonts w:cs="Times New Roman"/>
          <w:sz w:val="24"/>
          <w:szCs w:val="24"/>
        </w:rPr>
        <w:tab/>
      </w:r>
      <w:r w:rsidRPr="00DF0A1D">
        <w:rPr>
          <w:rFonts w:cs="Times New Roman"/>
          <w:sz w:val="24"/>
          <w:szCs w:val="24"/>
        </w:rPr>
        <w:tab/>
      </w:r>
      <w:r w:rsidR="007E3058">
        <w:rPr>
          <w:rFonts w:cs="Times New Roman"/>
          <w:sz w:val="24"/>
          <w:szCs w:val="24"/>
        </w:rPr>
        <w:tab/>
      </w:r>
      <w:r w:rsidRPr="00DF0A1D">
        <w:rPr>
          <w:rFonts w:cs="Times New Roman"/>
          <w:sz w:val="24"/>
          <w:szCs w:val="24"/>
        </w:rPr>
        <w:t>60% FEC</w:t>
      </w:r>
    </w:p>
    <w:p w14:paraId="49715F30" w14:textId="0077121C" w:rsidR="008F5151" w:rsidRDefault="008F5151" w:rsidP="008F5151">
      <w:pPr>
        <w:pStyle w:val="ListParagraph"/>
        <w:numPr>
          <w:ilvl w:val="0"/>
          <w:numId w:val="4"/>
        </w:numPr>
        <w:spacing w:after="200" w:line="240" w:lineRule="auto"/>
        <w:ind w:left="3060"/>
        <w:jc w:val="both"/>
        <w:rPr>
          <w:rFonts w:cs="Times New Roman"/>
          <w:sz w:val="24"/>
          <w:szCs w:val="24"/>
        </w:rPr>
      </w:pPr>
      <w:r w:rsidRPr="00DF0A1D">
        <w:rPr>
          <w:rFonts w:cs="Times New Roman"/>
          <w:sz w:val="24"/>
          <w:szCs w:val="24"/>
        </w:rPr>
        <w:t xml:space="preserve">Other </w:t>
      </w:r>
      <w:r w:rsidRPr="00DF0A1D">
        <w:rPr>
          <w:rFonts w:cs="Times New Roman"/>
          <w:sz w:val="24"/>
          <w:szCs w:val="24"/>
        </w:rPr>
        <w:tab/>
      </w:r>
      <w:r w:rsidRPr="00DF0A1D">
        <w:rPr>
          <w:rFonts w:cs="Times New Roman"/>
          <w:sz w:val="24"/>
          <w:szCs w:val="24"/>
        </w:rPr>
        <w:tab/>
      </w:r>
      <w:r w:rsidRPr="00DF0A1D">
        <w:rPr>
          <w:rFonts w:cs="Times New Roman"/>
          <w:sz w:val="24"/>
          <w:szCs w:val="24"/>
        </w:rPr>
        <w:tab/>
      </w:r>
      <w:r w:rsidR="007E3058">
        <w:rPr>
          <w:rFonts w:cs="Times New Roman"/>
          <w:sz w:val="24"/>
          <w:szCs w:val="24"/>
        </w:rPr>
        <w:tab/>
      </w:r>
      <w:r w:rsidRPr="00DF0A1D">
        <w:rPr>
          <w:rFonts w:cs="Times New Roman"/>
          <w:sz w:val="24"/>
          <w:szCs w:val="24"/>
        </w:rPr>
        <w:t>60% FEC</w:t>
      </w:r>
    </w:p>
    <w:p w14:paraId="75F97495" w14:textId="6D1D779B" w:rsidR="007E3058" w:rsidRPr="007E3058" w:rsidRDefault="007E3058" w:rsidP="007E3058">
      <w:pPr>
        <w:pStyle w:val="ListParagraph"/>
        <w:numPr>
          <w:ilvl w:val="0"/>
          <w:numId w:val="4"/>
        </w:numPr>
        <w:spacing w:after="200" w:line="240" w:lineRule="auto"/>
        <w:ind w:left="3060"/>
        <w:jc w:val="both"/>
        <w:rPr>
          <w:rFonts w:cs="Times New Roman"/>
          <w:sz w:val="24"/>
          <w:szCs w:val="24"/>
        </w:rPr>
      </w:pPr>
      <w:r w:rsidRPr="00DF0A1D">
        <w:rPr>
          <w:rFonts w:cs="Times New Roman"/>
          <w:sz w:val="24"/>
          <w:szCs w:val="24"/>
        </w:rPr>
        <w:t xml:space="preserve">UK Charities </w:t>
      </w:r>
      <w:r w:rsidRPr="00DF0A1D">
        <w:rPr>
          <w:rFonts w:cs="Times New Roman"/>
          <w:sz w:val="24"/>
          <w:szCs w:val="24"/>
        </w:rPr>
        <w:tab/>
        <w:t xml:space="preserve"> </w:t>
      </w:r>
      <w:r w:rsidRPr="00DF0A1D">
        <w:rPr>
          <w:rFonts w:cs="Times New Roman"/>
          <w:sz w:val="24"/>
          <w:szCs w:val="24"/>
        </w:rPr>
        <w:tab/>
      </w:r>
      <w:r w:rsidRPr="00DF0A1D">
        <w:rPr>
          <w:rFonts w:cs="Times New Roman"/>
          <w:sz w:val="24"/>
          <w:szCs w:val="24"/>
        </w:rPr>
        <w:tab/>
      </w:r>
      <w:r>
        <w:rPr>
          <w:rFonts w:cs="Times New Roman"/>
          <w:sz w:val="24"/>
          <w:szCs w:val="24"/>
        </w:rPr>
        <w:tab/>
      </w:r>
      <w:r w:rsidRPr="00DF0A1D">
        <w:rPr>
          <w:rFonts w:cs="Times New Roman"/>
          <w:sz w:val="24"/>
          <w:szCs w:val="24"/>
        </w:rPr>
        <w:t>50% FEC</w:t>
      </w:r>
    </w:p>
    <w:p w14:paraId="1D5D8AE8" w14:textId="77777777" w:rsidR="008F5151" w:rsidRPr="00DF0A1D" w:rsidRDefault="008F5151" w:rsidP="008F5151">
      <w:pPr>
        <w:pStyle w:val="ListParagraph"/>
        <w:numPr>
          <w:ilvl w:val="1"/>
          <w:numId w:val="3"/>
        </w:numPr>
        <w:spacing w:after="200" w:line="240" w:lineRule="auto"/>
        <w:ind w:left="1800"/>
        <w:jc w:val="both"/>
        <w:rPr>
          <w:rFonts w:cs="Times New Roman"/>
          <w:sz w:val="24"/>
          <w:szCs w:val="24"/>
        </w:rPr>
      </w:pPr>
      <w:r w:rsidRPr="00DF0A1D">
        <w:rPr>
          <w:rFonts w:cs="Times New Roman"/>
          <w:sz w:val="24"/>
          <w:szCs w:val="24"/>
        </w:rPr>
        <w:t xml:space="preserve">If the cost recovery rate cannot be increased to reach the threshold, the PI should bring this to the attention of their Head of School immediately and make a case for support. </w:t>
      </w:r>
      <w:r w:rsidRPr="00DF0A1D">
        <w:rPr>
          <w:sz w:val="24"/>
          <w:szCs w:val="24"/>
        </w:rPr>
        <w:t>In order to receive final institution-level sign off, evidence (email or letter stating the reason) of the decision to support needs to be submitted together with a FEC form signed by the Head of School. It is advisable to come to a decision early on in the process and to communicate it to the CRSO to avoid wasted effort.</w:t>
      </w:r>
    </w:p>
    <w:p w14:paraId="28A6B149" w14:textId="77777777" w:rsidR="008F5151" w:rsidRPr="00DF0A1D" w:rsidRDefault="008F5151" w:rsidP="008F5151">
      <w:pPr>
        <w:pStyle w:val="ListParagraph"/>
        <w:numPr>
          <w:ilvl w:val="1"/>
          <w:numId w:val="3"/>
        </w:numPr>
        <w:spacing w:after="200" w:line="240" w:lineRule="auto"/>
        <w:ind w:left="1800"/>
        <w:jc w:val="both"/>
        <w:rPr>
          <w:rFonts w:cs="Times New Roman"/>
          <w:b/>
          <w:sz w:val="24"/>
          <w:szCs w:val="24"/>
        </w:rPr>
      </w:pPr>
      <w:r w:rsidRPr="00DF0A1D">
        <w:rPr>
          <w:sz w:val="24"/>
          <w:szCs w:val="24"/>
        </w:rPr>
        <w:t>Approval from the Dean is required if any of the following applies:</w:t>
      </w:r>
    </w:p>
    <w:p w14:paraId="1DEC108B" w14:textId="77777777" w:rsidR="008F5151" w:rsidRPr="00DF0A1D" w:rsidRDefault="008F5151" w:rsidP="008F5151">
      <w:pPr>
        <w:pStyle w:val="ListParagraph"/>
        <w:numPr>
          <w:ilvl w:val="1"/>
          <w:numId w:val="5"/>
        </w:numPr>
        <w:spacing w:after="200" w:line="240" w:lineRule="auto"/>
        <w:ind w:left="3060"/>
        <w:jc w:val="both"/>
        <w:rPr>
          <w:rFonts w:cs="Times New Roman"/>
          <w:b/>
          <w:sz w:val="24"/>
          <w:szCs w:val="24"/>
        </w:rPr>
      </w:pPr>
      <w:r w:rsidRPr="00DF0A1D">
        <w:rPr>
          <w:sz w:val="24"/>
          <w:szCs w:val="24"/>
        </w:rPr>
        <w:t xml:space="preserve">if the Head of School is involved in the proposal, </w:t>
      </w:r>
    </w:p>
    <w:p w14:paraId="044361DE" w14:textId="77777777" w:rsidR="008F5151" w:rsidRPr="00DF0A1D" w:rsidRDefault="008F5151" w:rsidP="008F5151">
      <w:pPr>
        <w:pStyle w:val="ListParagraph"/>
        <w:numPr>
          <w:ilvl w:val="1"/>
          <w:numId w:val="5"/>
        </w:numPr>
        <w:spacing w:after="200" w:line="240" w:lineRule="auto"/>
        <w:ind w:left="3060"/>
        <w:jc w:val="both"/>
        <w:rPr>
          <w:rFonts w:cs="Times New Roman"/>
          <w:b/>
          <w:sz w:val="24"/>
          <w:szCs w:val="24"/>
        </w:rPr>
      </w:pPr>
      <w:r w:rsidRPr="00DF0A1D">
        <w:rPr>
          <w:sz w:val="24"/>
          <w:szCs w:val="24"/>
        </w:rPr>
        <w:t>if the cost recovery rate is more than 10% below the threshold,</w:t>
      </w:r>
    </w:p>
    <w:p w14:paraId="280E2C0F" w14:textId="77777777" w:rsidR="008F5151" w:rsidRPr="00DF0A1D" w:rsidRDefault="008F5151" w:rsidP="008F5151">
      <w:pPr>
        <w:pStyle w:val="ListParagraph"/>
        <w:numPr>
          <w:ilvl w:val="1"/>
          <w:numId w:val="5"/>
        </w:numPr>
        <w:spacing w:after="200" w:line="240" w:lineRule="auto"/>
        <w:ind w:left="3060"/>
        <w:jc w:val="both"/>
        <w:rPr>
          <w:rFonts w:cs="Times New Roman"/>
          <w:b/>
          <w:sz w:val="24"/>
          <w:szCs w:val="24"/>
        </w:rPr>
      </w:pPr>
      <w:r w:rsidRPr="00DF0A1D">
        <w:rPr>
          <w:sz w:val="24"/>
          <w:szCs w:val="24"/>
        </w:rPr>
        <w:t>if the FEC of the proposal is above £600,000</w:t>
      </w:r>
    </w:p>
    <w:p w14:paraId="42BD0DF2" w14:textId="77777777" w:rsidR="008F5151" w:rsidRPr="00DF0A1D" w:rsidRDefault="008F5151" w:rsidP="008F5151">
      <w:pPr>
        <w:pStyle w:val="ListParagraph"/>
        <w:numPr>
          <w:ilvl w:val="1"/>
          <w:numId w:val="3"/>
        </w:numPr>
        <w:spacing w:after="200" w:line="240" w:lineRule="auto"/>
        <w:ind w:left="1800"/>
        <w:jc w:val="both"/>
        <w:rPr>
          <w:rFonts w:cs="Times New Roman"/>
          <w:sz w:val="24"/>
          <w:szCs w:val="24"/>
        </w:rPr>
      </w:pPr>
      <w:r w:rsidRPr="00DF0A1D">
        <w:rPr>
          <w:rFonts w:cs="Times New Roman"/>
          <w:sz w:val="24"/>
          <w:szCs w:val="24"/>
        </w:rPr>
        <w:t xml:space="preserve">Approval from the PVC Research and Impact is required </w:t>
      </w:r>
      <w:r w:rsidRPr="00DF0A1D">
        <w:rPr>
          <w:sz w:val="24"/>
          <w:szCs w:val="24"/>
        </w:rPr>
        <w:t>if any of the following applies:</w:t>
      </w:r>
    </w:p>
    <w:p w14:paraId="69CCD63A" w14:textId="77777777" w:rsidR="008F5151" w:rsidRPr="00DF0A1D" w:rsidRDefault="008F5151" w:rsidP="008F5151">
      <w:pPr>
        <w:pStyle w:val="ListParagraph"/>
        <w:numPr>
          <w:ilvl w:val="2"/>
          <w:numId w:val="6"/>
        </w:numPr>
        <w:spacing w:after="200" w:line="240" w:lineRule="auto"/>
        <w:ind w:left="3060"/>
        <w:jc w:val="both"/>
        <w:rPr>
          <w:rFonts w:cs="Times New Roman"/>
          <w:b/>
          <w:sz w:val="24"/>
          <w:szCs w:val="24"/>
        </w:rPr>
      </w:pPr>
      <w:r w:rsidRPr="00DF0A1D">
        <w:rPr>
          <w:sz w:val="24"/>
          <w:szCs w:val="24"/>
        </w:rPr>
        <w:t xml:space="preserve">if the Head of School and Dean are involved in the proposal, </w:t>
      </w:r>
    </w:p>
    <w:p w14:paraId="72435CB0" w14:textId="77777777" w:rsidR="008F5151" w:rsidRPr="00DF0A1D" w:rsidRDefault="008F5151" w:rsidP="008F5151">
      <w:pPr>
        <w:pStyle w:val="ListParagraph"/>
        <w:numPr>
          <w:ilvl w:val="2"/>
          <w:numId w:val="6"/>
        </w:numPr>
        <w:spacing w:after="200" w:line="240" w:lineRule="auto"/>
        <w:ind w:left="3060"/>
        <w:jc w:val="both"/>
        <w:rPr>
          <w:rFonts w:cs="Times New Roman"/>
          <w:b/>
          <w:sz w:val="24"/>
          <w:szCs w:val="24"/>
        </w:rPr>
      </w:pPr>
      <w:r w:rsidRPr="00DF0A1D">
        <w:rPr>
          <w:sz w:val="24"/>
          <w:szCs w:val="24"/>
        </w:rPr>
        <w:t>if the cost recovery rate is more than 15% below the threshold,</w:t>
      </w:r>
    </w:p>
    <w:p w14:paraId="1D47C22D" w14:textId="77777777" w:rsidR="008F5151" w:rsidRPr="00DF0A1D" w:rsidRDefault="008F5151" w:rsidP="008F5151">
      <w:pPr>
        <w:pStyle w:val="ListParagraph"/>
        <w:numPr>
          <w:ilvl w:val="2"/>
          <w:numId w:val="6"/>
        </w:numPr>
        <w:spacing w:after="200" w:line="240" w:lineRule="auto"/>
        <w:ind w:left="3060"/>
        <w:jc w:val="both"/>
        <w:rPr>
          <w:rFonts w:cs="Times New Roman"/>
          <w:b/>
          <w:sz w:val="24"/>
          <w:szCs w:val="24"/>
        </w:rPr>
      </w:pPr>
      <w:r w:rsidRPr="00DF0A1D">
        <w:rPr>
          <w:sz w:val="24"/>
          <w:szCs w:val="24"/>
        </w:rPr>
        <w:t>if the FEC of the proposal is above £1,000,000</w:t>
      </w:r>
    </w:p>
    <w:p w14:paraId="64F10419" w14:textId="77777777" w:rsidR="008F5151" w:rsidRPr="00DF0A1D" w:rsidRDefault="008F5151" w:rsidP="008F5151">
      <w:pPr>
        <w:pStyle w:val="ListParagraph"/>
        <w:ind w:left="360"/>
        <w:rPr>
          <w:sz w:val="24"/>
          <w:szCs w:val="24"/>
        </w:rPr>
      </w:pPr>
    </w:p>
    <w:p w14:paraId="0335E290" w14:textId="1F6CDEF2" w:rsidR="00C634D0" w:rsidRPr="00DF0A1D" w:rsidRDefault="008F5151" w:rsidP="00DF0A1D">
      <w:pPr>
        <w:ind w:left="720"/>
        <w:jc w:val="both"/>
        <w:rPr>
          <w:rFonts w:cs="Times New Roman"/>
          <w:b/>
          <w:sz w:val="24"/>
          <w:szCs w:val="24"/>
        </w:rPr>
      </w:pPr>
      <w:r w:rsidRPr="00DF0A1D">
        <w:rPr>
          <w:rFonts w:cs="Times New Roman"/>
          <w:b/>
          <w:sz w:val="24"/>
          <w:szCs w:val="24"/>
        </w:rPr>
        <w:t>Guidance: When making a case for or taking a decision to support a proposal with low cost recovery rate, please take the issues outlined in the annex into account.</w:t>
      </w:r>
    </w:p>
    <w:p w14:paraId="69C977E9" w14:textId="77777777" w:rsidR="009D6D6C" w:rsidRDefault="009D6D6C" w:rsidP="009C3CD5">
      <w:pPr>
        <w:pStyle w:val="ListParagraph"/>
        <w:ind w:left="360"/>
        <w:jc w:val="both"/>
        <w:rPr>
          <w:b/>
          <w:sz w:val="24"/>
          <w:szCs w:val="24"/>
        </w:rPr>
      </w:pPr>
    </w:p>
    <w:p w14:paraId="2EB1ADA7" w14:textId="77777777" w:rsidR="00DF0A1D" w:rsidRPr="001F6615" w:rsidRDefault="00DF0A1D" w:rsidP="009C3CD5">
      <w:pPr>
        <w:pStyle w:val="ListParagraph"/>
        <w:ind w:left="360"/>
        <w:jc w:val="both"/>
        <w:rPr>
          <w:b/>
          <w:sz w:val="24"/>
          <w:szCs w:val="24"/>
        </w:rPr>
      </w:pPr>
    </w:p>
    <w:p w14:paraId="28AA34AE" w14:textId="24B3B3D4" w:rsidR="00A9657A" w:rsidRDefault="00A9657A" w:rsidP="00755D85">
      <w:pPr>
        <w:pStyle w:val="ListParagraph"/>
        <w:numPr>
          <w:ilvl w:val="0"/>
          <w:numId w:val="16"/>
        </w:numPr>
        <w:jc w:val="both"/>
        <w:rPr>
          <w:b/>
          <w:sz w:val="24"/>
          <w:szCs w:val="24"/>
        </w:rPr>
      </w:pPr>
      <w:r>
        <w:rPr>
          <w:b/>
          <w:sz w:val="24"/>
          <w:szCs w:val="24"/>
        </w:rPr>
        <w:t>Other issues</w:t>
      </w:r>
    </w:p>
    <w:p w14:paraId="51A2F4B9" w14:textId="4F20652B" w:rsidR="00755D85" w:rsidRPr="00DF0A1D" w:rsidRDefault="00755D85" w:rsidP="00DF0A1D">
      <w:pPr>
        <w:pStyle w:val="ListParagraph"/>
        <w:numPr>
          <w:ilvl w:val="1"/>
          <w:numId w:val="16"/>
        </w:numPr>
        <w:ind w:left="709"/>
        <w:jc w:val="both"/>
        <w:rPr>
          <w:b/>
          <w:sz w:val="24"/>
          <w:szCs w:val="24"/>
        </w:rPr>
      </w:pPr>
      <w:r w:rsidRPr="001F6615">
        <w:rPr>
          <w:b/>
          <w:sz w:val="24"/>
          <w:szCs w:val="24"/>
        </w:rPr>
        <w:t xml:space="preserve">Principal Investigator </w:t>
      </w:r>
      <w:r>
        <w:rPr>
          <w:b/>
          <w:sz w:val="24"/>
          <w:szCs w:val="24"/>
        </w:rPr>
        <w:t>Status</w:t>
      </w:r>
    </w:p>
    <w:p w14:paraId="739342BB" w14:textId="77777777" w:rsidR="00755D85" w:rsidRDefault="00755D85" w:rsidP="00755D85">
      <w:pPr>
        <w:pStyle w:val="ListParagraph"/>
        <w:ind w:left="360"/>
        <w:jc w:val="both"/>
        <w:rPr>
          <w:sz w:val="24"/>
          <w:szCs w:val="24"/>
        </w:rPr>
      </w:pPr>
      <w:r>
        <w:rPr>
          <w:sz w:val="24"/>
          <w:szCs w:val="24"/>
        </w:rPr>
        <w:t>The Principal Investigator (PI) on externally funded grants is normally a permanent member of academic staff. However, the University is committed to the career development of Early Career Researchers (ECRs) and other research staff on fixed term contracts. There may be cases where a member of staff on a fixed term contract is allowed to submit a proposal as named PI. In assessing these cases the following matters will be considered.</w:t>
      </w:r>
    </w:p>
    <w:p w14:paraId="737404DB" w14:textId="77777777" w:rsidR="00755D85" w:rsidRPr="00C61B05" w:rsidRDefault="00755D85" w:rsidP="00755D85">
      <w:pPr>
        <w:pStyle w:val="ListParagraph"/>
        <w:ind w:left="360"/>
        <w:jc w:val="both"/>
        <w:rPr>
          <w:rFonts w:ascii="Calibri" w:hAnsi="Calibri"/>
          <w:sz w:val="24"/>
          <w:szCs w:val="24"/>
        </w:rPr>
      </w:pPr>
    </w:p>
    <w:p w14:paraId="44EB2864" w14:textId="77777777" w:rsidR="00755D85" w:rsidRDefault="00755D85" w:rsidP="00755D85">
      <w:pPr>
        <w:pStyle w:val="ListParagraph"/>
        <w:numPr>
          <w:ilvl w:val="0"/>
          <w:numId w:val="2"/>
        </w:numPr>
        <w:spacing w:after="0" w:line="240" w:lineRule="auto"/>
        <w:contextualSpacing w:val="0"/>
        <w:jc w:val="both"/>
        <w:rPr>
          <w:rFonts w:ascii="Calibri" w:hAnsi="Calibri"/>
          <w:sz w:val="24"/>
          <w:szCs w:val="24"/>
        </w:rPr>
      </w:pPr>
      <w:r>
        <w:rPr>
          <w:rFonts w:ascii="Calibri" w:hAnsi="Calibri"/>
          <w:sz w:val="24"/>
          <w:szCs w:val="24"/>
        </w:rPr>
        <w:t>Do the s</w:t>
      </w:r>
      <w:r w:rsidRPr="00C61B05">
        <w:rPr>
          <w:rFonts w:ascii="Calibri" w:hAnsi="Calibri"/>
          <w:sz w:val="24"/>
          <w:szCs w:val="24"/>
        </w:rPr>
        <w:t xml:space="preserve">ponsor </w:t>
      </w:r>
      <w:r>
        <w:rPr>
          <w:rFonts w:ascii="Calibri" w:hAnsi="Calibri"/>
          <w:sz w:val="24"/>
          <w:szCs w:val="24"/>
        </w:rPr>
        <w:t>rules allow for this or is it explicitly not allowed? (Some grants require an ECR to be the PI)</w:t>
      </w:r>
    </w:p>
    <w:p w14:paraId="0C794E49" w14:textId="77777777" w:rsidR="00755D85" w:rsidRPr="00C61B05" w:rsidRDefault="00755D85" w:rsidP="00755D85">
      <w:pPr>
        <w:pStyle w:val="ListParagraph"/>
        <w:spacing w:after="0" w:line="240" w:lineRule="auto"/>
        <w:contextualSpacing w:val="0"/>
        <w:jc w:val="both"/>
        <w:rPr>
          <w:rFonts w:ascii="Calibri" w:hAnsi="Calibri"/>
          <w:sz w:val="24"/>
          <w:szCs w:val="24"/>
        </w:rPr>
      </w:pPr>
    </w:p>
    <w:p w14:paraId="24BD04B6" w14:textId="77777777" w:rsidR="00755D85" w:rsidRPr="00B23323" w:rsidRDefault="00755D85" w:rsidP="00755D85">
      <w:pPr>
        <w:pStyle w:val="ListParagraph"/>
        <w:numPr>
          <w:ilvl w:val="0"/>
          <w:numId w:val="2"/>
        </w:numPr>
        <w:spacing w:after="0" w:line="240" w:lineRule="auto"/>
        <w:contextualSpacing w:val="0"/>
        <w:jc w:val="both"/>
        <w:rPr>
          <w:rFonts w:ascii="Calibri" w:hAnsi="Calibri"/>
          <w:sz w:val="24"/>
          <w:szCs w:val="24"/>
        </w:rPr>
      </w:pPr>
      <w:r>
        <w:rPr>
          <w:rFonts w:ascii="Calibri" w:hAnsi="Calibri"/>
          <w:sz w:val="24"/>
          <w:szCs w:val="24"/>
        </w:rPr>
        <w:t>If the s</w:t>
      </w:r>
      <w:r w:rsidRPr="00C61B05">
        <w:rPr>
          <w:rFonts w:ascii="Calibri" w:hAnsi="Calibri"/>
          <w:sz w:val="24"/>
          <w:szCs w:val="24"/>
        </w:rPr>
        <w:t>po</w:t>
      </w:r>
      <w:r>
        <w:rPr>
          <w:rFonts w:ascii="Calibri" w:hAnsi="Calibri"/>
          <w:sz w:val="24"/>
          <w:szCs w:val="24"/>
        </w:rPr>
        <w:t xml:space="preserve">nsor doesn’t normally allow this, the PI/ acting PI may investigate whether the sponsor </w:t>
      </w:r>
      <w:r w:rsidRPr="00C61B05">
        <w:rPr>
          <w:rFonts w:ascii="Calibri" w:hAnsi="Calibri"/>
          <w:sz w:val="24"/>
          <w:szCs w:val="24"/>
        </w:rPr>
        <w:t>accept</w:t>
      </w:r>
      <w:r>
        <w:rPr>
          <w:rFonts w:ascii="Calibri" w:hAnsi="Calibri"/>
          <w:sz w:val="24"/>
          <w:szCs w:val="24"/>
        </w:rPr>
        <w:t>s a proposal</w:t>
      </w:r>
      <w:r w:rsidRPr="00C61B05">
        <w:rPr>
          <w:rFonts w:ascii="Calibri" w:hAnsi="Calibri"/>
          <w:sz w:val="24"/>
          <w:szCs w:val="24"/>
        </w:rPr>
        <w:t xml:space="preserve"> if </w:t>
      </w:r>
      <w:r>
        <w:rPr>
          <w:rFonts w:ascii="Calibri" w:hAnsi="Calibri"/>
          <w:sz w:val="24"/>
          <w:szCs w:val="24"/>
        </w:rPr>
        <w:t xml:space="preserve">the University </w:t>
      </w:r>
      <w:r w:rsidRPr="00C61B05">
        <w:rPr>
          <w:rFonts w:ascii="Calibri" w:hAnsi="Calibri"/>
          <w:sz w:val="24"/>
          <w:szCs w:val="24"/>
        </w:rPr>
        <w:t>provide</w:t>
      </w:r>
      <w:r>
        <w:rPr>
          <w:rFonts w:ascii="Calibri" w:hAnsi="Calibri"/>
          <w:sz w:val="24"/>
          <w:szCs w:val="24"/>
        </w:rPr>
        <w:t>s</w:t>
      </w:r>
      <w:r w:rsidRPr="00C61B05">
        <w:rPr>
          <w:rFonts w:ascii="Calibri" w:hAnsi="Calibri"/>
          <w:sz w:val="24"/>
          <w:szCs w:val="24"/>
        </w:rPr>
        <w:t xml:space="preserve"> a formal letter stating that the fixed term contract will match the length of the proposed award</w:t>
      </w:r>
      <w:r>
        <w:rPr>
          <w:rFonts w:ascii="Calibri" w:hAnsi="Calibri"/>
          <w:sz w:val="24"/>
          <w:szCs w:val="24"/>
        </w:rPr>
        <w:t xml:space="preserve">. This letter must be signed by someone with appropriate management authority in the School or College (Head of School, Dean, or College Manager) in the full knowledge of the affordability of the commitment. </w:t>
      </w:r>
      <w:r w:rsidRPr="00B23323">
        <w:rPr>
          <w:rFonts w:ascii="Calibri" w:hAnsi="Calibri"/>
          <w:sz w:val="24"/>
          <w:szCs w:val="24"/>
        </w:rPr>
        <w:t>Th</w:t>
      </w:r>
      <w:r>
        <w:rPr>
          <w:rFonts w:ascii="Calibri" w:hAnsi="Calibri"/>
          <w:sz w:val="24"/>
          <w:szCs w:val="24"/>
        </w:rPr>
        <w:t>e</w:t>
      </w:r>
      <w:r w:rsidRPr="00B23323">
        <w:rPr>
          <w:rFonts w:ascii="Calibri" w:hAnsi="Calibri"/>
          <w:sz w:val="24"/>
          <w:szCs w:val="24"/>
        </w:rPr>
        <w:t xml:space="preserve"> permission and commitment letter must be obtained at the beginning of the proposal development</w:t>
      </w:r>
      <w:r>
        <w:rPr>
          <w:rFonts w:ascii="Calibri" w:hAnsi="Calibri"/>
          <w:sz w:val="24"/>
          <w:szCs w:val="24"/>
        </w:rPr>
        <w:t xml:space="preserve"> and the case must be discussed with support staff in REO from the outset.</w:t>
      </w:r>
    </w:p>
    <w:p w14:paraId="026A8AD2" w14:textId="77777777" w:rsidR="00755D85" w:rsidRPr="000F0436" w:rsidRDefault="00755D85" w:rsidP="00755D85">
      <w:pPr>
        <w:pStyle w:val="ListParagraph"/>
        <w:spacing w:after="0" w:line="240" w:lineRule="auto"/>
        <w:contextualSpacing w:val="0"/>
        <w:jc w:val="both"/>
        <w:rPr>
          <w:rFonts w:ascii="Calibri" w:hAnsi="Calibri"/>
          <w:sz w:val="24"/>
          <w:szCs w:val="24"/>
        </w:rPr>
      </w:pPr>
    </w:p>
    <w:p w14:paraId="4C5C3F74" w14:textId="77777777" w:rsidR="00755D85" w:rsidRDefault="00755D85" w:rsidP="00755D85">
      <w:pPr>
        <w:pStyle w:val="ListParagraph"/>
        <w:numPr>
          <w:ilvl w:val="0"/>
          <w:numId w:val="2"/>
        </w:numPr>
        <w:spacing w:after="0" w:line="240" w:lineRule="auto"/>
        <w:contextualSpacing w:val="0"/>
        <w:jc w:val="both"/>
        <w:rPr>
          <w:rFonts w:ascii="Calibri" w:hAnsi="Calibri"/>
          <w:sz w:val="24"/>
          <w:szCs w:val="24"/>
        </w:rPr>
      </w:pPr>
      <w:r>
        <w:rPr>
          <w:rFonts w:ascii="Calibri" w:hAnsi="Calibri"/>
          <w:sz w:val="24"/>
          <w:szCs w:val="24"/>
        </w:rPr>
        <w:t>Where the s</w:t>
      </w:r>
      <w:r w:rsidRPr="00C61B05">
        <w:rPr>
          <w:rFonts w:ascii="Calibri" w:hAnsi="Calibri"/>
          <w:sz w:val="24"/>
          <w:szCs w:val="24"/>
        </w:rPr>
        <w:t xml:space="preserve">ponsor will allow </w:t>
      </w:r>
      <w:r>
        <w:rPr>
          <w:rFonts w:ascii="Calibri" w:hAnsi="Calibri"/>
          <w:sz w:val="24"/>
          <w:szCs w:val="24"/>
        </w:rPr>
        <w:t xml:space="preserve">fixed term contract staff to act as PIs there must be written evidence to support this. There must also be evidence that the proposal covers the full cost of the fixed term post for at least the entire duration of </w:t>
      </w:r>
      <w:r w:rsidRPr="00C61B05">
        <w:rPr>
          <w:rFonts w:ascii="Calibri" w:hAnsi="Calibri"/>
          <w:sz w:val="24"/>
          <w:szCs w:val="24"/>
        </w:rPr>
        <w:t>the propos</w:t>
      </w:r>
      <w:r>
        <w:rPr>
          <w:rFonts w:ascii="Calibri" w:hAnsi="Calibri"/>
          <w:sz w:val="24"/>
          <w:szCs w:val="24"/>
        </w:rPr>
        <w:t>al at an FTE level commensurate with the commitment on the proposal. Ideally, the fixed-term post will run beyond the end of the grant to also cover the final reporting period at a duration usual for the sponsor.</w:t>
      </w:r>
    </w:p>
    <w:p w14:paraId="09FB2295" w14:textId="77777777" w:rsidR="00755D85" w:rsidRPr="00C61B05" w:rsidRDefault="00755D85" w:rsidP="00755D85">
      <w:pPr>
        <w:pStyle w:val="ListParagraph"/>
        <w:spacing w:after="0" w:line="240" w:lineRule="auto"/>
        <w:contextualSpacing w:val="0"/>
        <w:jc w:val="both"/>
        <w:rPr>
          <w:rFonts w:ascii="Calibri" w:hAnsi="Calibri"/>
          <w:sz w:val="24"/>
          <w:szCs w:val="24"/>
        </w:rPr>
      </w:pPr>
    </w:p>
    <w:p w14:paraId="026A65A8" w14:textId="77777777" w:rsidR="00755D85" w:rsidRDefault="00755D85" w:rsidP="00755D85">
      <w:pPr>
        <w:pStyle w:val="ListParagraph"/>
        <w:numPr>
          <w:ilvl w:val="0"/>
          <w:numId w:val="2"/>
        </w:numPr>
        <w:spacing w:after="0" w:line="240" w:lineRule="auto"/>
        <w:contextualSpacing w:val="0"/>
        <w:jc w:val="both"/>
        <w:rPr>
          <w:rFonts w:ascii="Calibri" w:hAnsi="Calibri"/>
          <w:sz w:val="24"/>
          <w:szCs w:val="24"/>
        </w:rPr>
      </w:pPr>
      <w:r w:rsidRPr="00853F5E">
        <w:rPr>
          <w:rFonts w:ascii="Calibri" w:hAnsi="Calibri"/>
          <w:sz w:val="24"/>
          <w:szCs w:val="24"/>
        </w:rPr>
        <w:t xml:space="preserve">In </w:t>
      </w:r>
      <w:r w:rsidRPr="00853F5E">
        <w:rPr>
          <w:rFonts w:ascii="Calibri" w:hAnsi="Calibri"/>
          <w:sz w:val="24"/>
          <w:szCs w:val="24"/>
          <w:u w:val="single"/>
        </w:rPr>
        <w:t>all</w:t>
      </w:r>
      <w:r w:rsidRPr="00853F5E">
        <w:rPr>
          <w:rFonts w:ascii="Calibri" w:hAnsi="Calibri"/>
          <w:sz w:val="24"/>
          <w:szCs w:val="24"/>
        </w:rPr>
        <w:t xml:space="preserve"> cases </w:t>
      </w:r>
      <w:r>
        <w:rPr>
          <w:rFonts w:ascii="Calibri" w:hAnsi="Calibri"/>
          <w:sz w:val="24"/>
          <w:szCs w:val="24"/>
        </w:rPr>
        <w:t>where a fixed term contract holder acts as PI t</w:t>
      </w:r>
      <w:r w:rsidRPr="00853F5E">
        <w:rPr>
          <w:rFonts w:ascii="Calibri" w:hAnsi="Calibri"/>
          <w:sz w:val="24"/>
          <w:szCs w:val="24"/>
        </w:rPr>
        <w:t xml:space="preserve">here must be a permanent member of </w:t>
      </w:r>
      <w:r>
        <w:rPr>
          <w:rFonts w:ascii="Calibri" w:hAnsi="Calibri"/>
          <w:sz w:val="24"/>
          <w:szCs w:val="24"/>
        </w:rPr>
        <w:t xml:space="preserve">academic </w:t>
      </w:r>
      <w:r w:rsidRPr="00853F5E">
        <w:rPr>
          <w:rFonts w:ascii="Calibri" w:hAnsi="Calibri"/>
          <w:sz w:val="24"/>
          <w:szCs w:val="24"/>
        </w:rPr>
        <w:t xml:space="preserve">staff </w:t>
      </w:r>
      <w:r>
        <w:rPr>
          <w:rFonts w:ascii="Calibri" w:hAnsi="Calibri"/>
          <w:sz w:val="24"/>
          <w:szCs w:val="24"/>
        </w:rPr>
        <w:t xml:space="preserve">recorded </w:t>
      </w:r>
      <w:r w:rsidRPr="00853F5E">
        <w:rPr>
          <w:rFonts w:ascii="Calibri" w:hAnsi="Calibri"/>
          <w:sz w:val="24"/>
          <w:szCs w:val="24"/>
        </w:rPr>
        <w:t>as Co-Investi</w:t>
      </w:r>
      <w:r>
        <w:rPr>
          <w:rFonts w:ascii="Calibri" w:hAnsi="Calibri"/>
          <w:sz w:val="24"/>
          <w:szCs w:val="24"/>
        </w:rPr>
        <w:t>gator and this individual must accept the responsibility to manage commitments arising from the project in such cases as unfunded project extensions or resignation of the PI etc.</w:t>
      </w:r>
    </w:p>
    <w:p w14:paraId="6CB87DCE" w14:textId="77777777" w:rsidR="00755D85" w:rsidRPr="00DF0A1D" w:rsidRDefault="00755D85" w:rsidP="00DF0A1D">
      <w:pPr>
        <w:jc w:val="both"/>
        <w:rPr>
          <w:b/>
          <w:sz w:val="24"/>
          <w:szCs w:val="24"/>
        </w:rPr>
      </w:pPr>
    </w:p>
    <w:p w14:paraId="4E5ADFEC" w14:textId="77777777" w:rsidR="00DF0A1D" w:rsidRDefault="00BF5D40" w:rsidP="00DF0A1D">
      <w:pPr>
        <w:pStyle w:val="ListParagraph"/>
        <w:numPr>
          <w:ilvl w:val="1"/>
          <w:numId w:val="16"/>
        </w:numPr>
        <w:jc w:val="both"/>
        <w:rPr>
          <w:b/>
          <w:sz w:val="24"/>
          <w:szCs w:val="24"/>
        </w:rPr>
      </w:pPr>
      <w:r>
        <w:rPr>
          <w:b/>
          <w:sz w:val="24"/>
          <w:szCs w:val="24"/>
        </w:rPr>
        <w:t>Confidential Information</w:t>
      </w:r>
    </w:p>
    <w:p w14:paraId="20A6622F" w14:textId="223D1A1D" w:rsidR="009D6D6C" w:rsidRPr="00DF0A1D" w:rsidRDefault="00BF5D40" w:rsidP="00DF0A1D">
      <w:pPr>
        <w:ind w:left="360"/>
        <w:jc w:val="both"/>
        <w:rPr>
          <w:b/>
          <w:sz w:val="24"/>
          <w:szCs w:val="24"/>
        </w:rPr>
      </w:pPr>
      <w:r w:rsidRPr="00DF0A1D">
        <w:rPr>
          <w:sz w:val="24"/>
          <w:szCs w:val="24"/>
        </w:rPr>
        <w:t xml:space="preserve">It is normally expected that a senior academic acting as PI will be responsible for co-ordinating a research proposal and dealing appropriately with any confidential information required in drawing up the proposal (in most cases this confidential information is restricted to salary data). </w:t>
      </w:r>
      <w:r w:rsidR="009D6D6C" w:rsidRPr="00DF0A1D">
        <w:rPr>
          <w:sz w:val="24"/>
          <w:szCs w:val="24"/>
        </w:rPr>
        <w:t>It is also usual practice for PIs to delegate tasks like</w:t>
      </w:r>
      <w:r w:rsidRPr="00DF0A1D">
        <w:rPr>
          <w:sz w:val="24"/>
          <w:szCs w:val="24"/>
        </w:rPr>
        <w:t xml:space="preserve"> co-ordinating the proposal </w:t>
      </w:r>
      <w:r w:rsidR="009D6D6C" w:rsidRPr="00DF0A1D">
        <w:rPr>
          <w:sz w:val="24"/>
          <w:szCs w:val="24"/>
        </w:rPr>
        <w:t xml:space="preserve">or sub-tasks such as costing the proposal or data-input </w:t>
      </w:r>
      <w:r w:rsidRPr="00DF0A1D">
        <w:rPr>
          <w:sz w:val="24"/>
          <w:szCs w:val="24"/>
        </w:rPr>
        <w:t>to a more junior member of staff</w:t>
      </w:r>
      <w:r w:rsidR="009D6D6C" w:rsidRPr="00DF0A1D">
        <w:rPr>
          <w:sz w:val="24"/>
          <w:szCs w:val="24"/>
        </w:rPr>
        <w:t xml:space="preserve"> (from either the academic or the administrative domain). Usually all CoIs need to have access to th</w:t>
      </w:r>
      <w:r w:rsidR="006651B9">
        <w:rPr>
          <w:sz w:val="24"/>
          <w:szCs w:val="24"/>
        </w:rPr>
        <w:t>e on-line application form (e.g.</w:t>
      </w:r>
      <w:r w:rsidR="009D6D6C" w:rsidRPr="00DF0A1D">
        <w:rPr>
          <w:sz w:val="24"/>
          <w:szCs w:val="24"/>
        </w:rPr>
        <w:t xml:space="preserve"> to contribute to the preparation of the application form) as well.</w:t>
      </w:r>
    </w:p>
    <w:p w14:paraId="74983038" w14:textId="77777777" w:rsidR="006651B9" w:rsidRDefault="009D6D6C" w:rsidP="006651B9">
      <w:pPr>
        <w:pStyle w:val="ListParagraph"/>
        <w:ind w:left="360"/>
        <w:jc w:val="both"/>
        <w:rPr>
          <w:sz w:val="24"/>
          <w:szCs w:val="24"/>
        </w:rPr>
      </w:pPr>
      <w:r w:rsidRPr="009D6D6C">
        <w:rPr>
          <w:sz w:val="24"/>
          <w:szCs w:val="24"/>
        </w:rPr>
        <w:lastRenderedPageBreak/>
        <w:t>Whilst it is normally accepted that where an individual agrees to be part of a proposal they would consent to allowing access to such data there may be occasions where this isn’t appropriate</w:t>
      </w:r>
      <w:r>
        <w:rPr>
          <w:sz w:val="24"/>
          <w:szCs w:val="24"/>
        </w:rPr>
        <w:t xml:space="preserve">. </w:t>
      </w:r>
      <w:r w:rsidRPr="009D6D6C">
        <w:rPr>
          <w:sz w:val="24"/>
          <w:szCs w:val="24"/>
        </w:rPr>
        <w:t>If a member of staff objects to their salary or other confidential data being handled by a junior member of staff, they have the right to ask for this to be handled be the PI</w:t>
      </w:r>
      <w:r>
        <w:rPr>
          <w:sz w:val="24"/>
          <w:szCs w:val="24"/>
        </w:rPr>
        <w:t xml:space="preserve"> (active opt-out).</w:t>
      </w:r>
    </w:p>
    <w:p w14:paraId="51B61E55" w14:textId="77777777" w:rsidR="006651B9" w:rsidRDefault="006651B9" w:rsidP="006651B9">
      <w:pPr>
        <w:pStyle w:val="ListParagraph"/>
        <w:ind w:left="360"/>
        <w:jc w:val="both"/>
        <w:rPr>
          <w:sz w:val="24"/>
          <w:szCs w:val="24"/>
        </w:rPr>
      </w:pPr>
    </w:p>
    <w:p w14:paraId="203B463D" w14:textId="0D7EBA1A" w:rsidR="00D34965" w:rsidRPr="006651B9" w:rsidRDefault="00753618" w:rsidP="006651B9">
      <w:pPr>
        <w:pStyle w:val="ListParagraph"/>
        <w:numPr>
          <w:ilvl w:val="1"/>
          <w:numId w:val="16"/>
        </w:numPr>
        <w:jc w:val="both"/>
        <w:rPr>
          <w:sz w:val="24"/>
          <w:szCs w:val="24"/>
        </w:rPr>
      </w:pPr>
      <w:r w:rsidRPr="006651B9">
        <w:rPr>
          <w:b/>
          <w:sz w:val="24"/>
          <w:szCs w:val="24"/>
        </w:rPr>
        <w:t>Collaborative grants</w:t>
      </w:r>
    </w:p>
    <w:p w14:paraId="1D025EE4" w14:textId="04E34E43" w:rsidR="00D34965" w:rsidRPr="004A0E6B" w:rsidRDefault="00753618" w:rsidP="004A0E6B">
      <w:pPr>
        <w:ind w:left="360"/>
        <w:rPr>
          <w:sz w:val="24"/>
          <w:szCs w:val="24"/>
        </w:rPr>
      </w:pPr>
      <w:r w:rsidRPr="004A0E6B">
        <w:rPr>
          <w:sz w:val="24"/>
          <w:szCs w:val="24"/>
        </w:rPr>
        <w:t xml:space="preserve">If the Bangor PI is the lead applicant for the overall proposal, the PI and/ or their team are required to obtain any approval or permissions from partner organisations required by the sponsor </w:t>
      </w:r>
      <w:r w:rsidR="00F736A1" w:rsidRPr="004A0E6B">
        <w:rPr>
          <w:sz w:val="24"/>
          <w:szCs w:val="24"/>
        </w:rPr>
        <w:t xml:space="preserve">and / or Bangor University </w:t>
      </w:r>
      <w:r w:rsidRPr="004A0E6B">
        <w:rPr>
          <w:sz w:val="24"/>
          <w:szCs w:val="24"/>
        </w:rPr>
        <w:t xml:space="preserve">via their co-PIs in the partner organisations. </w:t>
      </w:r>
      <w:r w:rsidR="00F022FC">
        <w:rPr>
          <w:sz w:val="24"/>
          <w:szCs w:val="24"/>
        </w:rPr>
        <w:t xml:space="preserve">In particular this applies to permissions to submit the proposal on behalf of the partners and where Intellectual property (IP) issues are involved. </w:t>
      </w:r>
      <w:r w:rsidRPr="004A0E6B">
        <w:rPr>
          <w:sz w:val="24"/>
          <w:szCs w:val="24"/>
        </w:rPr>
        <w:t>An email confirming permissions or approvals is sufficient, unless the funder requires something more formal. Bangor University cannot enforce compliance with internal procedures in other institutions, but we expect the PI to remind their external co-PIs to ensure they fulfil their internal requirements.</w:t>
      </w:r>
    </w:p>
    <w:p w14:paraId="7EFF044D" w14:textId="77777777" w:rsidR="00753618" w:rsidRDefault="00753618" w:rsidP="004A0E6B">
      <w:pPr>
        <w:ind w:left="360"/>
        <w:rPr>
          <w:sz w:val="24"/>
          <w:szCs w:val="24"/>
        </w:rPr>
      </w:pPr>
      <w:r w:rsidRPr="004A0E6B">
        <w:rPr>
          <w:sz w:val="24"/>
          <w:szCs w:val="24"/>
        </w:rPr>
        <w:t xml:space="preserve">If the Bangor PI is the lead applicant for the overall proposal, the PI and/ or their team are required to collate budget information from their external partners sufficient to cost the overall proposal. </w:t>
      </w:r>
    </w:p>
    <w:p w14:paraId="001FA771" w14:textId="77777777" w:rsidR="00307812" w:rsidRDefault="00307812" w:rsidP="004A0E6B">
      <w:pPr>
        <w:ind w:left="360"/>
        <w:rPr>
          <w:sz w:val="24"/>
          <w:szCs w:val="24"/>
        </w:rPr>
      </w:pPr>
    </w:p>
    <w:p w14:paraId="16B52315" w14:textId="2B508D17" w:rsidR="007B69F3" w:rsidRDefault="007B69F3" w:rsidP="00E3650A">
      <w:pPr>
        <w:pStyle w:val="ListParagraph"/>
        <w:ind w:left="360"/>
        <w:rPr>
          <w:sz w:val="24"/>
          <w:szCs w:val="24"/>
        </w:rPr>
      </w:pPr>
      <w:r>
        <w:rPr>
          <w:sz w:val="24"/>
          <w:szCs w:val="24"/>
        </w:rPr>
        <w:br w:type="page"/>
      </w:r>
    </w:p>
    <w:p w14:paraId="4C4168DF" w14:textId="01B7516B" w:rsidR="007B69F3" w:rsidRPr="00D608E8" w:rsidRDefault="007B69F3" w:rsidP="00E3650A">
      <w:pPr>
        <w:pStyle w:val="ListParagraph"/>
        <w:ind w:left="360"/>
        <w:rPr>
          <w:rFonts w:cs="Times New Roman"/>
          <w:b/>
          <w:sz w:val="24"/>
          <w:szCs w:val="24"/>
        </w:rPr>
      </w:pPr>
      <w:r w:rsidRPr="00D608E8">
        <w:rPr>
          <w:b/>
          <w:sz w:val="24"/>
          <w:szCs w:val="24"/>
        </w:rPr>
        <w:lastRenderedPageBreak/>
        <w:t xml:space="preserve">Annex – </w:t>
      </w:r>
      <w:r w:rsidRPr="00D608E8">
        <w:rPr>
          <w:rFonts w:cs="Times New Roman"/>
          <w:b/>
          <w:sz w:val="24"/>
          <w:szCs w:val="24"/>
        </w:rPr>
        <w:t>Guidance for cases for support of proposals below cost recovery threshold</w:t>
      </w:r>
    </w:p>
    <w:p w14:paraId="70BB3495" w14:textId="77777777" w:rsidR="007B69F3" w:rsidRPr="00D608E8" w:rsidRDefault="007B69F3" w:rsidP="00E3650A">
      <w:pPr>
        <w:pStyle w:val="ListParagraph"/>
        <w:ind w:left="360"/>
        <w:rPr>
          <w:sz w:val="24"/>
          <w:szCs w:val="24"/>
        </w:rPr>
      </w:pPr>
    </w:p>
    <w:p w14:paraId="091F0CE0" w14:textId="77777777" w:rsidR="007B69F3" w:rsidRPr="00D608E8" w:rsidRDefault="007B69F3" w:rsidP="007B69F3">
      <w:pPr>
        <w:ind w:left="360"/>
        <w:jc w:val="both"/>
        <w:rPr>
          <w:rFonts w:cs="Times New Roman"/>
          <w:b/>
          <w:sz w:val="24"/>
          <w:szCs w:val="24"/>
        </w:rPr>
      </w:pPr>
      <w:r w:rsidRPr="00D608E8">
        <w:rPr>
          <w:rFonts w:cs="Times New Roman"/>
          <w:b/>
          <w:sz w:val="24"/>
          <w:szCs w:val="24"/>
        </w:rPr>
        <w:t xml:space="preserve">Non-financial benefits and issues </w:t>
      </w:r>
    </w:p>
    <w:p w14:paraId="073DAE91" w14:textId="77777777" w:rsidR="007B69F3" w:rsidRPr="00D608E8" w:rsidRDefault="007B69F3" w:rsidP="007B69F3">
      <w:pPr>
        <w:ind w:left="360"/>
        <w:jc w:val="both"/>
        <w:rPr>
          <w:rFonts w:cs="Times New Roman"/>
          <w:sz w:val="24"/>
          <w:szCs w:val="24"/>
          <w:u w:val="single"/>
        </w:rPr>
      </w:pPr>
      <w:r w:rsidRPr="00D608E8">
        <w:rPr>
          <w:rFonts w:cs="Times New Roman"/>
          <w:sz w:val="24"/>
          <w:szCs w:val="24"/>
          <w:u w:val="single"/>
        </w:rPr>
        <w:t>The funder</w:t>
      </w:r>
    </w:p>
    <w:p w14:paraId="645EA533" w14:textId="77777777" w:rsidR="007B69F3" w:rsidRPr="00D608E8" w:rsidRDefault="007B69F3" w:rsidP="007B69F3">
      <w:pPr>
        <w:pStyle w:val="ListParagraph"/>
        <w:numPr>
          <w:ilvl w:val="0"/>
          <w:numId w:val="7"/>
        </w:numPr>
        <w:spacing w:after="200" w:line="240" w:lineRule="auto"/>
        <w:ind w:left="1080"/>
        <w:jc w:val="both"/>
        <w:rPr>
          <w:rFonts w:cs="Times New Roman"/>
          <w:sz w:val="24"/>
          <w:szCs w:val="24"/>
        </w:rPr>
      </w:pPr>
      <w:r w:rsidRPr="00D608E8">
        <w:rPr>
          <w:rFonts w:cs="Times New Roman"/>
          <w:sz w:val="24"/>
          <w:szCs w:val="24"/>
        </w:rPr>
        <w:t>What is the level of prestige/ kudos/ recognition in the research community for receiving support from the funder?</w:t>
      </w:r>
    </w:p>
    <w:p w14:paraId="1DF47C08" w14:textId="77777777" w:rsidR="007B69F3" w:rsidRPr="00D608E8" w:rsidRDefault="007B69F3" w:rsidP="007B69F3">
      <w:pPr>
        <w:pStyle w:val="ListParagraph"/>
        <w:numPr>
          <w:ilvl w:val="0"/>
          <w:numId w:val="7"/>
        </w:numPr>
        <w:spacing w:after="200" w:line="240" w:lineRule="auto"/>
        <w:ind w:left="1080"/>
        <w:jc w:val="both"/>
        <w:rPr>
          <w:rFonts w:cs="Times New Roman"/>
          <w:sz w:val="24"/>
          <w:szCs w:val="24"/>
        </w:rPr>
      </w:pPr>
      <w:r w:rsidRPr="00D608E8">
        <w:rPr>
          <w:rFonts w:cs="Times New Roman"/>
          <w:sz w:val="24"/>
          <w:szCs w:val="24"/>
        </w:rPr>
        <w:t>Are there alternative funders?</w:t>
      </w:r>
    </w:p>
    <w:p w14:paraId="474704F7" w14:textId="77777777" w:rsidR="007B69F3" w:rsidRPr="00D608E8" w:rsidRDefault="007B69F3" w:rsidP="007B69F3">
      <w:pPr>
        <w:pStyle w:val="ListParagraph"/>
        <w:numPr>
          <w:ilvl w:val="1"/>
          <w:numId w:val="7"/>
        </w:numPr>
        <w:spacing w:after="200" w:line="240" w:lineRule="auto"/>
        <w:ind w:left="1800"/>
        <w:jc w:val="both"/>
        <w:rPr>
          <w:rFonts w:cs="Times New Roman"/>
          <w:sz w:val="24"/>
          <w:szCs w:val="24"/>
        </w:rPr>
      </w:pPr>
      <w:r w:rsidRPr="00D608E8">
        <w:rPr>
          <w:rFonts w:cs="Times New Roman"/>
          <w:sz w:val="24"/>
          <w:szCs w:val="24"/>
        </w:rPr>
        <w:t>There are very limited alternatives in some research areas (e.g. bilingualism). Why is a research area not supported by public funds?</w:t>
      </w:r>
    </w:p>
    <w:p w14:paraId="0A964B34" w14:textId="77777777" w:rsidR="007B69F3" w:rsidRPr="00D608E8" w:rsidRDefault="007B69F3" w:rsidP="007B69F3">
      <w:pPr>
        <w:pStyle w:val="ListParagraph"/>
        <w:numPr>
          <w:ilvl w:val="1"/>
          <w:numId w:val="7"/>
        </w:numPr>
        <w:spacing w:after="200" w:line="240" w:lineRule="auto"/>
        <w:ind w:left="1800"/>
        <w:jc w:val="both"/>
        <w:rPr>
          <w:rFonts w:cs="Times New Roman"/>
          <w:sz w:val="24"/>
          <w:szCs w:val="24"/>
        </w:rPr>
      </w:pPr>
      <w:r w:rsidRPr="00D608E8">
        <w:rPr>
          <w:rFonts w:cs="Times New Roman"/>
          <w:sz w:val="24"/>
          <w:szCs w:val="24"/>
        </w:rPr>
        <w:t>Is the funder supporting interdisciplinary research?</w:t>
      </w:r>
    </w:p>
    <w:p w14:paraId="42CFCAB4" w14:textId="77777777" w:rsidR="007B69F3" w:rsidRPr="00D608E8" w:rsidRDefault="007B69F3" w:rsidP="007B69F3">
      <w:pPr>
        <w:pStyle w:val="ListParagraph"/>
        <w:numPr>
          <w:ilvl w:val="1"/>
          <w:numId w:val="7"/>
        </w:numPr>
        <w:spacing w:after="200" w:line="240" w:lineRule="auto"/>
        <w:ind w:left="1800"/>
        <w:jc w:val="both"/>
        <w:rPr>
          <w:rFonts w:cs="Times New Roman"/>
          <w:sz w:val="24"/>
          <w:szCs w:val="24"/>
        </w:rPr>
      </w:pPr>
      <w:r w:rsidRPr="00D608E8">
        <w:rPr>
          <w:rFonts w:cs="Times New Roman"/>
          <w:sz w:val="24"/>
          <w:szCs w:val="24"/>
        </w:rPr>
        <w:t>Research areas go in and out of ‘fashion’ with funders.</w:t>
      </w:r>
    </w:p>
    <w:p w14:paraId="38A039CD" w14:textId="77777777" w:rsidR="007B69F3" w:rsidRPr="00D608E8" w:rsidRDefault="007B69F3" w:rsidP="007B69F3">
      <w:pPr>
        <w:pStyle w:val="ListParagraph"/>
        <w:numPr>
          <w:ilvl w:val="1"/>
          <w:numId w:val="7"/>
        </w:numPr>
        <w:spacing w:after="200" w:line="240" w:lineRule="auto"/>
        <w:ind w:left="1800"/>
        <w:jc w:val="both"/>
        <w:rPr>
          <w:rFonts w:cs="Times New Roman"/>
          <w:sz w:val="24"/>
          <w:szCs w:val="24"/>
        </w:rPr>
      </w:pPr>
      <w:r w:rsidRPr="00D608E8">
        <w:rPr>
          <w:rFonts w:cs="Times New Roman"/>
          <w:sz w:val="24"/>
          <w:szCs w:val="24"/>
        </w:rPr>
        <w:t>There are limited funding opportunities for certain activities (e.g. infrastructure, refurbishment)</w:t>
      </w:r>
    </w:p>
    <w:p w14:paraId="75D64237" w14:textId="77777777" w:rsidR="007B69F3" w:rsidRPr="00D608E8" w:rsidRDefault="007B69F3" w:rsidP="007B69F3">
      <w:pPr>
        <w:pStyle w:val="ListParagraph"/>
        <w:numPr>
          <w:ilvl w:val="1"/>
          <w:numId w:val="7"/>
        </w:numPr>
        <w:spacing w:after="200" w:line="240" w:lineRule="auto"/>
        <w:ind w:left="1800"/>
        <w:jc w:val="both"/>
        <w:rPr>
          <w:rFonts w:cs="Times New Roman"/>
          <w:sz w:val="24"/>
          <w:szCs w:val="24"/>
        </w:rPr>
      </w:pPr>
      <w:r w:rsidRPr="00D608E8">
        <w:rPr>
          <w:rFonts w:cs="Times New Roman"/>
          <w:sz w:val="24"/>
          <w:szCs w:val="24"/>
        </w:rPr>
        <w:t>Funding opportunities for Early Career Researchers are comparatively rare, because ECRs are often ineligible to apply for mainstream calls. Opportunities open to ECRs often provide limited FEC return.</w:t>
      </w:r>
    </w:p>
    <w:p w14:paraId="37B72288" w14:textId="77777777" w:rsidR="007B69F3" w:rsidRPr="00D608E8" w:rsidRDefault="007B69F3" w:rsidP="007B69F3">
      <w:pPr>
        <w:pStyle w:val="ListParagraph"/>
        <w:numPr>
          <w:ilvl w:val="1"/>
          <w:numId w:val="7"/>
        </w:numPr>
        <w:spacing w:after="200" w:line="240" w:lineRule="auto"/>
        <w:ind w:left="1800"/>
        <w:jc w:val="both"/>
        <w:rPr>
          <w:rFonts w:cs="Times New Roman"/>
          <w:sz w:val="24"/>
          <w:szCs w:val="24"/>
        </w:rPr>
      </w:pPr>
      <w:r w:rsidRPr="00D608E8">
        <w:rPr>
          <w:rFonts w:cs="Times New Roman"/>
          <w:sz w:val="24"/>
          <w:szCs w:val="24"/>
        </w:rPr>
        <w:t>Is the funding making ‘own funded research’ more financially viable by sponsoring a crucial element (e.g. contract research, PhD studentships or pilot studies)</w:t>
      </w:r>
    </w:p>
    <w:p w14:paraId="07B47A46" w14:textId="77777777" w:rsidR="007B69F3" w:rsidRPr="00D608E8" w:rsidRDefault="007B69F3" w:rsidP="007B69F3">
      <w:pPr>
        <w:pStyle w:val="ListParagraph"/>
        <w:numPr>
          <w:ilvl w:val="0"/>
          <w:numId w:val="7"/>
        </w:numPr>
        <w:spacing w:after="200" w:line="240" w:lineRule="auto"/>
        <w:ind w:left="1080"/>
        <w:jc w:val="both"/>
        <w:rPr>
          <w:rFonts w:cs="Times New Roman"/>
          <w:sz w:val="24"/>
          <w:szCs w:val="24"/>
        </w:rPr>
      </w:pPr>
      <w:r w:rsidRPr="00D608E8">
        <w:rPr>
          <w:rFonts w:cs="Times New Roman"/>
          <w:sz w:val="24"/>
          <w:szCs w:val="24"/>
        </w:rPr>
        <w:t>What are the success rates for the funder?</w:t>
      </w:r>
    </w:p>
    <w:p w14:paraId="31C3921E" w14:textId="77777777" w:rsidR="007B69F3" w:rsidRPr="00D608E8" w:rsidRDefault="007B69F3" w:rsidP="007B69F3">
      <w:pPr>
        <w:pStyle w:val="ListParagraph"/>
        <w:numPr>
          <w:ilvl w:val="0"/>
          <w:numId w:val="7"/>
        </w:numPr>
        <w:spacing w:after="200" w:line="240" w:lineRule="auto"/>
        <w:ind w:left="1080"/>
        <w:jc w:val="both"/>
        <w:rPr>
          <w:rFonts w:cs="Times New Roman"/>
          <w:sz w:val="24"/>
          <w:szCs w:val="24"/>
        </w:rPr>
      </w:pPr>
      <w:r w:rsidRPr="00D608E8">
        <w:rPr>
          <w:rFonts w:cs="Times New Roman"/>
          <w:sz w:val="24"/>
          <w:szCs w:val="24"/>
        </w:rPr>
        <w:t>How work intensive is the proposal stage for the academic applicant?</w:t>
      </w:r>
    </w:p>
    <w:p w14:paraId="36C955B3" w14:textId="77777777" w:rsidR="007B69F3" w:rsidRPr="00D608E8" w:rsidRDefault="007B69F3" w:rsidP="007B69F3">
      <w:pPr>
        <w:pStyle w:val="ListParagraph"/>
        <w:numPr>
          <w:ilvl w:val="1"/>
          <w:numId w:val="7"/>
        </w:numPr>
        <w:spacing w:after="200" w:line="240" w:lineRule="auto"/>
        <w:ind w:left="1800"/>
        <w:jc w:val="both"/>
        <w:rPr>
          <w:rFonts w:cs="Times New Roman"/>
          <w:sz w:val="24"/>
          <w:szCs w:val="24"/>
        </w:rPr>
      </w:pPr>
      <w:r w:rsidRPr="00D608E8">
        <w:rPr>
          <w:rFonts w:cs="Times New Roman"/>
          <w:sz w:val="24"/>
          <w:szCs w:val="24"/>
        </w:rPr>
        <w:t>Are collaborators required (international, other disciplines, other sectors can be particularly difficult to find)?</w:t>
      </w:r>
    </w:p>
    <w:p w14:paraId="64E994D5" w14:textId="77777777" w:rsidR="007B69F3" w:rsidRPr="00D608E8" w:rsidRDefault="007B69F3" w:rsidP="007B69F3">
      <w:pPr>
        <w:pStyle w:val="ListParagraph"/>
        <w:numPr>
          <w:ilvl w:val="1"/>
          <w:numId w:val="7"/>
        </w:numPr>
        <w:spacing w:after="200" w:line="240" w:lineRule="auto"/>
        <w:ind w:left="1800"/>
        <w:jc w:val="both"/>
        <w:rPr>
          <w:rFonts w:cs="Times New Roman"/>
          <w:sz w:val="24"/>
          <w:szCs w:val="24"/>
        </w:rPr>
      </w:pPr>
      <w:r w:rsidRPr="00D608E8">
        <w:rPr>
          <w:rFonts w:cs="Times New Roman"/>
          <w:sz w:val="24"/>
          <w:szCs w:val="24"/>
        </w:rPr>
        <w:t>Can proposals be resubmitted or easily adapted for submission to other funders, if they fail?</w:t>
      </w:r>
    </w:p>
    <w:p w14:paraId="6FFFA34A" w14:textId="77777777" w:rsidR="007B69F3" w:rsidRPr="00D608E8" w:rsidRDefault="007B69F3" w:rsidP="007B69F3">
      <w:pPr>
        <w:pStyle w:val="ListParagraph"/>
        <w:numPr>
          <w:ilvl w:val="0"/>
          <w:numId w:val="7"/>
        </w:numPr>
        <w:spacing w:after="200" w:line="240" w:lineRule="auto"/>
        <w:ind w:left="1080"/>
        <w:jc w:val="both"/>
        <w:rPr>
          <w:rFonts w:cs="Times New Roman"/>
          <w:sz w:val="24"/>
          <w:szCs w:val="24"/>
        </w:rPr>
      </w:pPr>
      <w:r w:rsidRPr="00D608E8">
        <w:rPr>
          <w:rFonts w:cs="Times New Roman"/>
          <w:sz w:val="24"/>
          <w:szCs w:val="24"/>
        </w:rPr>
        <w:t>How high is the administrative effort for proposal preparation and project management?</w:t>
      </w:r>
    </w:p>
    <w:p w14:paraId="3D284E03" w14:textId="77777777" w:rsidR="007B69F3" w:rsidRPr="00D608E8" w:rsidRDefault="007B69F3" w:rsidP="007B69F3">
      <w:pPr>
        <w:pStyle w:val="ListParagraph"/>
        <w:numPr>
          <w:ilvl w:val="0"/>
          <w:numId w:val="7"/>
        </w:numPr>
        <w:spacing w:after="200" w:line="240" w:lineRule="auto"/>
        <w:ind w:left="1080"/>
        <w:jc w:val="both"/>
        <w:rPr>
          <w:rFonts w:cs="Times New Roman"/>
          <w:sz w:val="24"/>
          <w:szCs w:val="24"/>
        </w:rPr>
      </w:pPr>
      <w:r w:rsidRPr="00D608E8">
        <w:rPr>
          <w:rFonts w:cs="Times New Roman"/>
          <w:sz w:val="24"/>
          <w:szCs w:val="24"/>
        </w:rPr>
        <w:t>Is a political or lobbying effort required to engage the funder or increase the success rates?</w:t>
      </w:r>
    </w:p>
    <w:p w14:paraId="4E4593F1" w14:textId="77777777" w:rsidR="007B69F3" w:rsidRPr="00D608E8" w:rsidRDefault="007B69F3" w:rsidP="007B69F3">
      <w:pPr>
        <w:pStyle w:val="ListParagraph"/>
        <w:numPr>
          <w:ilvl w:val="1"/>
          <w:numId w:val="7"/>
        </w:numPr>
        <w:spacing w:after="200" w:line="240" w:lineRule="auto"/>
        <w:ind w:left="1800"/>
        <w:jc w:val="both"/>
        <w:rPr>
          <w:rFonts w:cs="Times New Roman"/>
          <w:sz w:val="24"/>
          <w:szCs w:val="24"/>
        </w:rPr>
      </w:pPr>
      <w:r w:rsidRPr="00D608E8">
        <w:rPr>
          <w:rFonts w:cs="Times New Roman"/>
          <w:sz w:val="24"/>
          <w:szCs w:val="24"/>
        </w:rPr>
        <w:t>Is it necessary to maintain a working relationship with the funder through on-going activities?</w:t>
      </w:r>
    </w:p>
    <w:p w14:paraId="5E496FFF" w14:textId="77777777" w:rsidR="007B69F3" w:rsidRPr="00D608E8" w:rsidRDefault="007B69F3" w:rsidP="007B69F3">
      <w:pPr>
        <w:pStyle w:val="ListParagraph"/>
        <w:numPr>
          <w:ilvl w:val="1"/>
          <w:numId w:val="7"/>
        </w:numPr>
        <w:spacing w:after="200" w:line="240" w:lineRule="auto"/>
        <w:ind w:left="1800"/>
        <w:jc w:val="both"/>
        <w:rPr>
          <w:rFonts w:cs="Times New Roman"/>
          <w:sz w:val="24"/>
          <w:szCs w:val="24"/>
        </w:rPr>
      </w:pPr>
      <w:r w:rsidRPr="00D608E8">
        <w:rPr>
          <w:rFonts w:cs="Times New Roman"/>
          <w:sz w:val="24"/>
          <w:szCs w:val="24"/>
        </w:rPr>
        <w:t>Does the institution/ college/ school have the resources (staff time, cash) to support this?</w:t>
      </w:r>
    </w:p>
    <w:p w14:paraId="235EB1B3" w14:textId="6EDC1FDB" w:rsidR="007B69F3" w:rsidRPr="00D608E8" w:rsidRDefault="007B69F3" w:rsidP="007B69F3">
      <w:pPr>
        <w:ind w:left="360"/>
        <w:jc w:val="both"/>
        <w:rPr>
          <w:rFonts w:cs="Times New Roman"/>
          <w:sz w:val="24"/>
          <w:szCs w:val="24"/>
          <w:u w:val="single"/>
        </w:rPr>
      </w:pPr>
      <w:r w:rsidRPr="00D608E8">
        <w:rPr>
          <w:rFonts w:cs="Times New Roman"/>
          <w:sz w:val="24"/>
          <w:szCs w:val="24"/>
          <w:u w:val="single"/>
        </w:rPr>
        <w:t xml:space="preserve">The project - </w:t>
      </w:r>
      <w:r w:rsidRPr="00D608E8">
        <w:rPr>
          <w:rFonts w:cs="Times New Roman"/>
          <w:sz w:val="24"/>
          <w:szCs w:val="24"/>
        </w:rPr>
        <w:t>If a project can only pursue funding with a low FEC recovery:</w:t>
      </w:r>
    </w:p>
    <w:p w14:paraId="02D3D335" w14:textId="77777777" w:rsidR="007B69F3" w:rsidRPr="00D608E8" w:rsidRDefault="007B69F3" w:rsidP="007B69F3">
      <w:pPr>
        <w:pStyle w:val="ListParagraph"/>
        <w:numPr>
          <w:ilvl w:val="0"/>
          <w:numId w:val="8"/>
        </w:numPr>
        <w:spacing w:after="200" w:line="240" w:lineRule="auto"/>
        <w:ind w:left="1080"/>
        <w:jc w:val="both"/>
        <w:rPr>
          <w:rFonts w:cs="Times New Roman"/>
          <w:sz w:val="24"/>
          <w:szCs w:val="24"/>
        </w:rPr>
      </w:pPr>
      <w:r w:rsidRPr="00D608E8">
        <w:rPr>
          <w:rFonts w:cs="Times New Roman"/>
          <w:sz w:val="24"/>
          <w:szCs w:val="24"/>
        </w:rPr>
        <w:t xml:space="preserve">How important is the project for Bangor University and/ or the career of the applicant? </w:t>
      </w:r>
    </w:p>
    <w:p w14:paraId="135A4E0E"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Does it fit with strategic priorities of the college or school?</w:t>
      </w:r>
    </w:p>
    <w:p w14:paraId="0A71329A"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Is the project delivering REF outcomes?</w:t>
      </w:r>
    </w:p>
    <w:p w14:paraId="33AEFB50"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Is the project leading to other quality outputs and/ or impact</w:t>
      </w:r>
    </w:p>
    <w:p w14:paraId="5AEBFCD5" w14:textId="77777777" w:rsidR="007B69F3" w:rsidRPr="00D608E8" w:rsidRDefault="007B69F3" w:rsidP="007B69F3">
      <w:pPr>
        <w:pStyle w:val="ListParagraph"/>
        <w:numPr>
          <w:ilvl w:val="0"/>
          <w:numId w:val="8"/>
        </w:numPr>
        <w:spacing w:after="200" w:line="240" w:lineRule="auto"/>
        <w:ind w:left="1080"/>
        <w:jc w:val="both"/>
        <w:rPr>
          <w:rFonts w:cs="Times New Roman"/>
          <w:sz w:val="24"/>
          <w:szCs w:val="24"/>
        </w:rPr>
      </w:pPr>
      <w:r w:rsidRPr="00D608E8">
        <w:rPr>
          <w:rFonts w:cs="Times New Roman"/>
          <w:sz w:val="24"/>
          <w:szCs w:val="24"/>
        </w:rPr>
        <w:t>Supporting strategic collaborations or partnerships</w:t>
      </w:r>
    </w:p>
    <w:p w14:paraId="2A4F703D"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How many 'loss leaders’ can or should be supported?</w:t>
      </w:r>
    </w:p>
    <w:p w14:paraId="4491AD7A"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What low-level FEC recovery rate is acceptable?</w:t>
      </w:r>
    </w:p>
    <w:p w14:paraId="23B8E894" w14:textId="77777777" w:rsidR="007B69F3" w:rsidRPr="00D608E8" w:rsidRDefault="007B69F3" w:rsidP="007B69F3">
      <w:pPr>
        <w:pStyle w:val="ListParagraph"/>
        <w:numPr>
          <w:ilvl w:val="0"/>
          <w:numId w:val="8"/>
        </w:numPr>
        <w:spacing w:after="200" w:line="240" w:lineRule="auto"/>
        <w:ind w:left="1080"/>
        <w:jc w:val="both"/>
        <w:rPr>
          <w:rFonts w:cs="Times New Roman"/>
          <w:sz w:val="24"/>
          <w:szCs w:val="24"/>
        </w:rPr>
      </w:pPr>
      <w:r w:rsidRPr="00D608E8">
        <w:rPr>
          <w:rFonts w:cs="Times New Roman"/>
          <w:sz w:val="24"/>
          <w:szCs w:val="24"/>
        </w:rPr>
        <w:t>What are the risks associated with the project?</w:t>
      </w:r>
    </w:p>
    <w:p w14:paraId="07BF45A5"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Internal – staffing commitments, infrastructure investment</w:t>
      </w:r>
    </w:p>
    <w:p w14:paraId="4FDF702E"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Delivering targets</w:t>
      </w:r>
    </w:p>
    <w:p w14:paraId="49DF791D"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Compliance</w:t>
      </w:r>
    </w:p>
    <w:p w14:paraId="1D3636A9"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lastRenderedPageBreak/>
        <w:t>Ethics</w:t>
      </w:r>
    </w:p>
    <w:p w14:paraId="37E69AF3" w14:textId="77777777" w:rsidR="007B69F3" w:rsidRPr="00D608E8" w:rsidRDefault="007B69F3" w:rsidP="007B69F3">
      <w:pPr>
        <w:pStyle w:val="ListParagraph"/>
        <w:numPr>
          <w:ilvl w:val="0"/>
          <w:numId w:val="8"/>
        </w:numPr>
        <w:spacing w:after="200" w:line="240" w:lineRule="auto"/>
        <w:ind w:left="1080"/>
        <w:jc w:val="both"/>
        <w:rPr>
          <w:rFonts w:cs="Times New Roman"/>
          <w:sz w:val="24"/>
          <w:szCs w:val="24"/>
        </w:rPr>
      </w:pPr>
      <w:r w:rsidRPr="00D608E8">
        <w:rPr>
          <w:rFonts w:cs="Times New Roman"/>
          <w:sz w:val="24"/>
          <w:szCs w:val="24"/>
        </w:rPr>
        <w:t xml:space="preserve">Research entirely funded by Bangor University </w:t>
      </w:r>
    </w:p>
    <w:p w14:paraId="24D31EBE"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This does not show up in the FEC records or accounts.</w:t>
      </w:r>
    </w:p>
    <w:p w14:paraId="524F16EB"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Zero FEC return if it involves staff time only</w:t>
      </w:r>
    </w:p>
    <w:p w14:paraId="3F2F228B" w14:textId="7777777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Negative FEC return if cash resources are used in addition to staff time.</w:t>
      </w:r>
    </w:p>
    <w:p w14:paraId="0E4CFAED" w14:textId="77777777" w:rsidR="007B69F3" w:rsidRPr="00D608E8" w:rsidRDefault="007B69F3" w:rsidP="007B69F3">
      <w:pPr>
        <w:pStyle w:val="ListParagraph"/>
        <w:numPr>
          <w:ilvl w:val="0"/>
          <w:numId w:val="8"/>
        </w:numPr>
        <w:spacing w:after="200" w:line="240" w:lineRule="auto"/>
        <w:ind w:left="1080"/>
        <w:jc w:val="both"/>
        <w:rPr>
          <w:rFonts w:cs="Times New Roman"/>
          <w:sz w:val="24"/>
          <w:szCs w:val="24"/>
        </w:rPr>
      </w:pPr>
      <w:r w:rsidRPr="00D608E8">
        <w:rPr>
          <w:rFonts w:cs="Times New Roman"/>
          <w:sz w:val="24"/>
          <w:szCs w:val="24"/>
        </w:rPr>
        <w:t xml:space="preserve">REF leverage effect </w:t>
      </w:r>
    </w:p>
    <w:p w14:paraId="3A431410" w14:textId="01E5D1A7" w:rsidR="007B69F3" w:rsidRPr="00D608E8" w:rsidRDefault="007B69F3" w:rsidP="007B69F3">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Income contributes to the Research Environment profile</w:t>
      </w:r>
      <w:r w:rsidR="009D1FFE">
        <w:rPr>
          <w:rFonts w:cs="Times New Roman"/>
          <w:sz w:val="24"/>
          <w:szCs w:val="24"/>
        </w:rPr>
        <w:t>,</w:t>
      </w:r>
      <w:r w:rsidRPr="00D608E8">
        <w:rPr>
          <w:rFonts w:cs="Times New Roman"/>
          <w:sz w:val="24"/>
          <w:szCs w:val="24"/>
        </w:rPr>
        <w:t xml:space="preserve"> which makes up 15% of the overall REF score.</w:t>
      </w:r>
    </w:p>
    <w:p w14:paraId="43DBC52A" w14:textId="483A0747" w:rsidR="007B69F3" w:rsidRPr="009D1FFE" w:rsidRDefault="007B69F3" w:rsidP="009D1FFE">
      <w:pPr>
        <w:pStyle w:val="ListParagraph"/>
        <w:numPr>
          <w:ilvl w:val="1"/>
          <w:numId w:val="8"/>
        </w:numPr>
        <w:spacing w:after="200" w:line="240" w:lineRule="auto"/>
        <w:ind w:left="1800"/>
        <w:jc w:val="both"/>
        <w:rPr>
          <w:rFonts w:cs="Times New Roman"/>
          <w:sz w:val="24"/>
          <w:szCs w:val="24"/>
        </w:rPr>
      </w:pPr>
      <w:r w:rsidRPr="00D608E8">
        <w:rPr>
          <w:rFonts w:cs="Times New Roman"/>
          <w:sz w:val="24"/>
          <w:szCs w:val="24"/>
        </w:rPr>
        <w:t>Research grant funding often results in outputs and impact case studies, both of which contribute to REF results.</w:t>
      </w:r>
    </w:p>
    <w:p w14:paraId="0DBF0C5F" w14:textId="77777777" w:rsidR="007B69F3" w:rsidRPr="00D608E8" w:rsidRDefault="007B69F3" w:rsidP="007B69F3">
      <w:pPr>
        <w:ind w:left="360"/>
        <w:jc w:val="both"/>
        <w:rPr>
          <w:rFonts w:cs="Times New Roman"/>
          <w:sz w:val="24"/>
          <w:szCs w:val="24"/>
        </w:rPr>
      </w:pPr>
    </w:p>
    <w:p w14:paraId="6127B8F1" w14:textId="77777777" w:rsidR="007B69F3" w:rsidRPr="00D608E8" w:rsidRDefault="007B69F3" w:rsidP="007B69F3">
      <w:pPr>
        <w:ind w:left="360"/>
        <w:rPr>
          <w:rFonts w:cs="Times New Roman"/>
          <w:b/>
          <w:sz w:val="24"/>
          <w:szCs w:val="24"/>
        </w:rPr>
      </w:pPr>
      <w:r w:rsidRPr="00D608E8">
        <w:rPr>
          <w:rFonts w:cs="Times New Roman"/>
          <w:b/>
          <w:sz w:val="24"/>
          <w:szCs w:val="24"/>
        </w:rPr>
        <w:t>Financial intervention rate/ Funding rate</w:t>
      </w:r>
    </w:p>
    <w:p w14:paraId="4BEEE9D7" w14:textId="45E494C0" w:rsidR="007B69F3" w:rsidRPr="00D608E8" w:rsidRDefault="007B69F3" w:rsidP="007B69F3">
      <w:pPr>
        <w:ind w:left="360"/>
        <w:jc w:val="both"/>
        <w:rPr>
          <w:rFonts w:cs="Times New Roman"/>
          <w:color w:val="000000" w:themeColor="text1"/>
          <w:sz w:val="24"/>
          <w:szCs w:val="24"/>
          <w:highlight w:val="yellow"/>
        </w:rPr>
      </w:pPr>
      <w:r w:rsidRPr="00D608E8">
        <w:rPr>
          <w:rFonts w:cs="Times New Roman"/>
          <w:sz w:val="24"/>
          <w:szCs w:val="24"/>
        </w:rPr>
        <w:t xml:space="preserve">An analysis of typical % FEC recovery rates for Bangor University </w:t>
      </w:r>
      <w:r w:rsidRPr="00D608E8">
        <w:rPr>
          <w:rFonts w:cs="Times New Roman"/>
          <w:color w:val="000000" w:themeColor="text1"/>
          <w:sz w:val="24"/>
          <w:szCs w:val="24"/>
        </w:rPr>
        <w:t xml:space="preserve">by funder type </w:t>
      </w:r>
      <w:r w:rsidRPr="00D608E8">
        <w:rPr>
          <w:rFonts w:cs="Times New Roman"/>
          <w:sz w:val="24"/>
          <w:szCs w:val="24"/>
        </w:rPr>
        <w:t>shows the following:</w:t>
      </w:r>
    </w:p>
    <w:p w14:paraId="278DB35A" w14:textId="6D2B762B" w:rsidR="007B69F3" w:rsidRPr="00D608E8" w:rsidRDefault="007B69F3" w:rsidP="007B69F3">
      <w:pPr>
        <w:pStyle w:val="ListParagraph"/>
        <w:numPr>
          <w:ilvl w:val="0"/>
          <w:numId w:val="9"/>
        </w:numPr>
        <w:spacing w:after="200" w:line="240" w:lineRule="auto"/>
        <w:ind w:left="1080"/>
        <w:jc w:val="both"/>
        <w:rPr>
          <w:rFonts w:cs="Times New Roman"/>
          <w:color w:val="000000" w:themeColor="text1"/>
          <w:sz w:val="24"/>
          <w:szCs w:val="24"/>
        </w:rPr>
      </w:pPr>
      <w:r w:rsidRPr="00D608E8">
        <w:rPr>
          <w:rFonts w:cs="Times New Roman"/>
          <w:color w:val="000000" w:themeColor="text1"/>
          <w:sz w:val="24"/>
          <w:szCs w:val="24"/>
        </w:rPr>
        <w:t xml:space="preserve">RCUK, UK Industry and UK government give the best % FEC recovery, UK Charities the worst. </w:t>
      </w:r>
    </w:p>
    <w:p w14:paraId="022639CC" w14:textId="77777777" w:rsidR="007B69F3" w:rsidRPr="00D608E8" w:rsidRDefault="007B69F3" w:rsidP="007B69F3">
      <w:pPr>
        <w:pStyle w:val="ListParagraph"/>
        <w:numPr>
          <w:ilvl w:val="0"/>
          <w:numId w:val="9"/>
        </w:numPr>
        <w:spacing w:after="200" w:line="240" w:lineRule="auto"/>
        <w:ind w:left="1080"/>
        <w:jc w:val="both"/>
        <w:rPr>
          <w:rFonts w:cs="Times New Roman"/>
          <w:color w:val="000000" w:themeColor="text1"/>
          <w:sz w:val="24"/>
          <w:szCs w:val="24"/>
        </w:rPr>
      </w:pPr>
      <w:r w:rsidRPr="00D608E8">
        <w:rPr>
          <w:rFonts w:cs="Times New Roman"/>
          <w:color w:val="000000" w:themeColor="text1"/>
          <w:sz w:val="24"/>
          <w:szCs w:val="24"/>
        </w:rPr>
        <w:t>The highest esteem/ REF rating are for RCUK (which includes NIHR), UK Charities and UK Government</w:t>
      </w:r>
    </w:p>
    <w:p w14:paraId="0F840022" w14:textId="37614975" w:rsidR="007B69F3" w:rsidRPr="00D608E8" w:rsidRDefault="007B69F3" w:rsidP="007B69F3">
      <w:pPr>
        <w:pStyle w:val="ListParagraph"/>
        <w:numPr>
          <w:ilvl w:val="0"/>
          <w:numId w:val="9"/>
        </w:numPr>
        <w:spacing w:after="200" w:line="240" w:lineRule="auto"/>
        <w:ind w:left="1080"/>
        <w:jc w:val="both"/>
        <w:rPr>
          <w:rFonts w:cs="Times New Roman"/>
          <w:color w:val="000000" w:themeColor="text1"/>
          <w:sz w:val="24"/>
          <w:szCs w:val="24"/>
        </w:rPr>
      </w:pPr>
      <w:r w:rsidRPr="00D608E8">
        <w:rPr>
          <w:rFonts w:cs="Times New Roman"/>
          <w:color w:val="000000" w:themeColor="text1"/>
          <w:sz w:val="24"/>
          <w:szCs w:val="24"/>
        </w:rPr>
        <w:t>Most grants are from UK Government, followed by RCUK and Charities.</w:t>
      </w:r>
    </w:p>
    <w:p w14:paraId="5605D498" w14:textId="6878EE45" w:rsidR="007B69F3" w:rsidRPr="00D608E8" w:rsidRDefault="007B69F3" w:rsidP="007B69F3">
      <w:pPr>
        <w:pStyle w:val="ListParagraph"/>
        <w:numPr>
          <w:ilvl w:val="0"/>
          <w:numId w:val="9"/>
        </w:numPr>
        <w:spacing w:after="200" w:line="240" w:lineRule="auto"/>
        <w:ind w:left="1080"/>
        <w:jc w:val="both"/>
        <w:rPr>
          <w:rFonts w:cs="Times New Roman"/>
          <w:color w:val="000000" w:themeColor="text1"/>
          <w:sz w:val="24"/>
          <w:szCs w:val="24"/>
        </w:rPr>
      </w:pPr>
      <w:r w:rsidRPr="00D608E8">
        <w:rPr>
          <w:rFonts w:cs="Times New Roman"/>
          <w:color w:val="000000" w:themeColor="text1"/>
          <w:sz w:val="24"/>
          <w:szCs w:val="24"/>
        </w:rPr>
        <w:t>The largest financial contribution comes from RCUK, UK Government and EU Government in the analysed years (note: these years fall in the interim between EU budgeting periods, which means BU applies for much less Structural Funds. – Not an accurate reflection of past financial impact of external funding, but potentially a more realistic indicator of what BU can expect in the future.)</w:t>
      </w:r>
    </w:p>
    <w:p w14:paraId="38B9BD8F" w14:textId="77777777" w:rsidR="007B69F3" w:rsidRPr="00D608E8" w:rsidRDefault="007B69F3" w:rsidP="007B69F3">
      <w:pPr>
        <w:pStyle w:val="ListParagraph"/>
        <w:numPr>
          <w:ilvl w:val="0"/>
          <w:numId w:val="9"/>
        </w:numPr>
        <w:spacing w:after="200" w:line="240" w:lineRule="auto"/>
        <w:ind w:left="1080"/>
        <w:jc w:val="both"/>
        <w:rPr>
          <w:rFonts w:cs="Times New Roman"/>
          <w:color w:val="000000" w:themeColor="text1"/>
          <w:sz w:val="24"/>
          <w:szCs w:val="24"/>
        </w:rPr>
      </w:pPr>
      <w:r w:rsidRPr="00D608E8">
        <w:rPr>
          <w:rFonts w:cs="Times New Roman"/>
          <w:color w:val="000000" w:themeColor="text1"/>
          <w:sz w:val="24"/>
          <w:szCs w:val="24"/>
        </w:rPr>
        <w:t xml:space="preserve">Success rates are considerably higher outside the competitive academic funders. </w:t>
      </w:r>
    </w:p>
    <w:p w14:paraId="48A9F7D5" w14:textId="77777777" w:rsidR="007B69F3" w:rsidRPr="00D608E8" w:rsidRDefault="007B69F3" w:rsidP="007B69F3">
      <w:pPr>
        <w:pStyle w:val="ListParagraph"/>
        <w:numPr>
          <w:ilvl w:val="0"/>
          <w:numId w:val="9"/>
        </w:numPr>
        <w:spacing w:after="200" w:line="240" w:lineRule="auto"/>
        <w:ind w:left="1080"/>
        <w:jc w:val="both"/>
        <w:rPr>
          <w:rFonts w:cs="Times New Roman"/>
          <w:color w:val="000000" w:themeColor="text1"/>
          <w:sz w:val="24"/>
          <w:szCs w:val="24"/>
        </w:rPr>
      </w:pPr>
      <w:r w:rsidRPr="00D608E8">
        <w:rPr>
          <w:rFonts w:cs="Times New Roman"/>
          <w:color w:val="000000" w:themeColor="text1"/>
          <w:sz w:val="24"/>
          <w:szCs w:val="24"/>
        </w:rPr>
        <w:t>The largest awards come from European funds.</w:t>
      </w:r>
    </w:p>
    <w:p w14:paraId="3B957AE6" w14:textId="2B461710" w:rsidR="007B69F3" w:rsidRPr="00D608E8" w:rsidRDefault="007B69F3" w:rsidP="007B69F3">
      <w:pPr>
        <w:pStyle w:val="ListParagraph"/>
        <w:numPr>
          <w:ilvl w:val="0"/>
          <w:numId w:val="9"/>
        </w:numPr>
        <w:spacing w:after="200" w:line="240" w:lineRule="auto"/>
        <w:ind w:left="1080"/>
        <w:jc w:val="both"/>
        <w:rPr>
          <w:rFonts w:cs="Times New Roman"/>
          <w:color w:val="000000" w:themeColor="text1"/>
          <w:sz w:val="24"/>
          <w:szCs w:val="24"/>
        </w:rPr>
      </w:pPr>
      <w:r w:rsidRPr="00D608E8">
        <w:rPr>
          <w:rFonts w:cs="Times New Roman"/>
          <w:color w:val="000000" w:themeColor="text1"/>
          <w:sz w:val="24"/>
          <w:szCs w:val="24"/>
        </w:rPr>
        <w:t xml:space="preserve">EU funds carry the highest admin burden (BU has no data on the latter – staffing levels in REO post-award are an indicator. Otherwise this statement is based on observing post-award activity and experience). </w:t>
      </w:r>
    </w:p>
    <w:p w14:paraId="70989F32" w14:textId="75360ED9" w:rsidR="007B69F3" w:rsidRPr="00D608E8" w:rsidRDefault="007B69F3" w:rsidP="007B69F3">
      <w:pPr>
        <w:pStyle w:val="ListParagraph"/>
        <w:numPr>
          <w:ilvl w:val="0"/>
          <w:numId w:val="9"/>
        </w:numPr>
        <w:spacing w:after="200" w:line="240" w:lineRule="auto"/>
        <w:ind w:left="1080"/>
        <w:jc w:val="both"/>
        <w:rPr>
          <w:rFonts w:cs="Times New Roman"/>
          <w:color w:val="000000" w:themeColor="text1"/>
          <w:sz w:val="24"/>
          <w:szCs w:val="24"/>
        </w:rPr>
      </w:pPr>
      <w:r w:rsidRPr="00D608E8">
        <w:rPr>
          <w:rFonts w:cs="Times New Roman"/>
          <w:color w:val="000000" w:themeColor="text1"/>
          <w:sz w:val="24"/>
          <w:szCs w:val="24"/>
        </w:rPr>
        <w:t>By far the largest number</w:t>
      </w:r>
      <w:r w:rsidR="009D1FFE">
        <w:rPr>
          <w:rFonts w:cs="Times New Roman"/>
          <w:color w:val="000000" w:themeColor="text1"/>
          <w:sz w:val="24"/>
          <w:szCs w:val="24"/>
        </w:rPr>
        <w:t>s</w:t>
      </w:r>
      <w:r w:rsidRPr="00D608E8">
        <w:rPr>
          <w:rFonts w:cs="Times New Roman"/>
          <w:color w:val="000000" w:themeColor="text1"/>
          <w:sz w:val="24"/>
          <w:szCs w:val="24"/>
        </w:rPr>
        <w:t xml:space="preserve"> of proposals are submitted to UK government, RCUK and UK Charities, followed by EU government.</w:t>
      </w:r>
    </w:p>
    <w:p w14:paraId="1B578F3E" w14:textId="77777777" w:rsidR="007B69F3" w:rsidRPr="00D608E8" w:rsidRDefault="007B69F3" w:rsidP="00E3650A">
      <w:pPr>
        <w:pStyle w:val="ListParagraph"/>
        <w:ind w:left="360"/>
        <w:rPr>
          <w:sz w:val="24"/>
          <w:szCs w:val="24"/>
        </w:rPr>
      </w:pPr>
    </w:p>
    <w:sectPr w:rsidR="007B69F3" w:rsidRPr="00D608E8" w:rsidSect="001F6615">
      <w:pgSz w:w="11906" w:h="16838"/>
      <w:pgMar w:top="1361"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CA024" w14:textId="77777777" w:rsidR="00FD50DB" w:rsidRDefault="00FD50DB" w:rsidP="003A3BA1">
      <w:pPr>
        <w:spacing w:after="0" w:line="240" w:lineRule="auto"/>
      </w:pPr>
      <w:r>
        <w:separator/>
      </w:r>
    </w:p>
  </w:endnote>
  <w:endnote w:type="continuationSeparator" w:id="0">
    <w:p w14:paraId="2F927566" w14:textId="77777777" w:rsidR="00FD50DB" w:rsidRDefault="00FD50DB" w:rsidP="003A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D0DC" w14:textId="77777777" w:rsidR="0086176A" w:rsidRDefault="00861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D7588" w14:textId="2654DF8F" w:rsidR="00FD50DB" w:rsidRDefault="00FD50DB">
    <w:pPr>
      <w:spacing w:line="200" w:lineRule="exact"/>
      <w:rPr>
        <w:sz w:val="20"/>
      </w:rPr>
    </w:pPr>
    <w:r>
      <w:rPr>
        <w:noProof/>
        <w:lang w:eastAsia="en-GB"/>
      </w:rPr>
      <mc:AlternateContent>
        <mc:Choice Requires="wps">
          <w:drawing>
            <wp:anchor distT="0" distB="0" distL="114300" distR="114300" simplePos="0" relativeHeight="251659776" behindDoc="1" locked="0" layoutInCell="1" allowOverlap="1" wp14:anchorId="5ED29E31" wp14:editId="3D03E2E0">
              <wp:simplePos x="0" y="0"/>
              <wp:positionH relativeFrom="page">
                <wp:posOffset>6304915</wp:posOffset>
              </wp:positionH>
              <wp:positionV relativeFrom="page">
                <wp:posOffset>10076180</wp:posOffset>
              </wp:positionV>
              <wp:extent cx="244475" cy="160655"/>
              <wp:effectExtent l="0" t="0" r="952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606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6E8824" w14:textId="77777777" w:rsidR="00FD50DB" w:rsidRDefault="00FD50DB">
                          <w:pPr>
                            <w:pStyle w:val="BodyText"/>
                            <w:spacing w:line="268" w:lineRule="exact"/>
                            <w:ind w:left="40" w:firstLine="0"/>
                          </w:pPr>
                          <w:r>
                            <w:fldChar w:fldCharType="begin"/>
                          </w:r>
                          <w:r>
                            <w:instrText xml:space="preserve"> PAGE </w:instrText>
                          </w:r>
                          <w:r>
                            <w:fldChar w:fldCharType="separate"/>
                          </w:r>
                          <w:r w:rsidR="00BA042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9E31" id="_x0000_t202" coordsize="21600,21600" o:spt="202" path="m,l,21600r21600,l21600,xe">
              <v:stroke joinstyle="miter"/>
              <v:path gradientshapeok="t" o:connecttype="rect"/>
            </v:shapetype>
            <v:shape id="Text Box 2" o:spid="_x0000_s1026" type="#_x0000_t202" style="position:absolute;margin-left:496.45pt;margin-top:793.4pt;width:19.25pt;height:1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" filled="f" stroked="f">
              <v:textbox inset="0,0,0,0">
                <w:txbxContent>
                  <w:p w14:paraId="7D6E8824" w14:textId="77777777" w:rsidR="00FD50DB" w:rsidRDefault="00FD50DB">
                    <w:pPr>
                      <w:pStyle w:val="BodyText"/>
                      <w:spacing w:line="268" w:lineRule="exact"/>
                      <w:ind w:left="40" w:firstLine="0"/>
                    </w:pPr>
                    <w:r>
                      <w:fldChar w:fldCharType="begin"/>
                    </w:r>
                    <w:r>
                      <w:instrText xml:space="preserve"> PAGE </w:instrText>
                    </w:r>
                    <w:r>
                      <w:fldChar w:fldCharType="separate"/>
                    </w:r>
                    <w:r w:rsidR="00BA0428">
                      <w:rPr>
                        <w:noProof/>
                      </w:rPr>
                      <w:t>1</w:t>
                    </w:r>
                    <w:r>
                      <w:fldChar w:fldCharType="end"/>
                    </w:r>
                  </w:p>
                </w:txbxContent>
              </v:textbox>
              <w10:wrap anchorx="page" anchory="page"/>
            </v:shape>
          </w:pict>
        </mc:Fallback>
      </mc:AlternateContent>
    </w:r>
    <w:r w:rsidR="0086176A">
      <w:rPr>
        <w:sz w:val="20"/>
      </w:rPr>
      <w:t>REO-CT 20170526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4783" w14:textId="77777777" w:rsidR="0086176A" w:rsidRDefault="00861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98433" w14:textId="77777777" w:rsidR="00FD50DB" w:rsidRDefault="00FD50DB" w:rsidP="003A3BA1">
      <w:pPr>
        <w:spacing w:after="0" w:line="240" w:lineRule="auto"/>
      </w:pPr>
      <w:r>
        <w:separator/>
      </w:r>
    </w:p>
  </w:footnote>
  <w:footnote w:type="continuationSeparator" w:id="0">
    <w:p w14:paraId="0985D67B" w14:textId="77777777" w:rsidR="00FD50DB" w:rsidRDefault="00FD50DB" w:rsidP="003A3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B9D91" w14:textId="17154A16" w:rsidR="00FD50DB" w:rsidRDefault="00FD5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CE22" w14:textId="26C7F0AE" w:rsidR="00FD50DB" w:rsidRDefault="00FD5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B714" w14:textId="18949498" w:rsidR="00FD50DB" w:rsidRDefault="00FD50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B374" w14:textId="5C9823E5" w:rsidR="00FD50DB" w:rsidRDefault="00FD50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3B75" w14:textId="53A5FC1B" w:rsidR="00FD50DB" w:rsidRDefault="00FD50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BDAF" w14:textId="5F691003" w:rsidR="00FD50DB" w:rsidRDefault="00FD5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1149"/>
    <w:multiLevelType w:val="hybridMultilevel"/>
    <w:tmpl w:val="8738E2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19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4E6B33"/>
    <w:multiLevelType w:val="multilevel"/>
    <w:tmpl w:val="A558A8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F35B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23960"/>
    <w:multiLevelType w:val="hybridMultilevel"/>
    <w:tmpl w:val="16ECC61E"/>
    <w:lvl w:ilvl="0" w:tplc="08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821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F080D"/>
    <w:multiLevelType w:val="hybridMultilevel"/>
    <w:tmpl w:val="E626D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731F"/>
    <w:multiLevelType w:val="hybridMultilevel"/>
    <w:tmpl w:val="7A9E9568"/>
    <w:lvl w:ilvl="0" w:tplc="0409000F">
      <w:start w:val="1"/>
      <w:numFmt w:val="decimal"/>
      <w:lvlText w:val="%1."/>
      <w:lvlJc w:val="left"/>
      <w:pPr>
        <w:ind w:left="720" w:hanging="360"/>
      </w:pPr>
      <w:rPr>
        <w:rFonts w:hint="default"/>
      </w:rPr>
    </w:lvl>
    <w:lvl w:ilvl="1" w:tplc="04090001">
      <w:start w:val="1"/>
      <w:numFmt w:val="bullet"/>
      <w:lvlText w:val=""/>
      <w:lvlJc w:val="left"/>
      <w:pPr>
        <w:ind w:left="27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E326E"/>
    <w:multiLevelType w:val="hybridMultilevel"/>
    <w:tmpl w:val="A558A870"/>
    <w:lvl w:ilvl="0" w:tplc="D832AF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632B7C"/>
    <w:multiLevelType w:val="hybridMultilevel"/>
    <w:tmpl w:val="9BF8E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4AD0C80"/>
    <w:multiLevelType w:val="multilevel"/>
    <w:tmpl w:val="8D0A1B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5E30259"/>
    <w:multiLevelType w:val="multilevel"/>
    <w:tmpl w:val="BB901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114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956F9"/>
    <w:multiLevelType w:val="hybridMultilevel"/>
    <w:tmpl w:val="B4DE4E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5793C"/>
    <w:multiLevelType w:val="hybridMultilevel"/>
    <w:tmpl w:val="7A64CEFE"/>
    <w:lvl w:ilvl="0" w:tplc="D832AF8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216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425808"/>
    <w:multiLevelType w:val="hybridMultilevel"/>
    <w:tmpl w:val="53D807CA"/>
    <w:lvl w:ilvl="0" w:tplc="A3FA49C4">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23006"/>
    <w:multiLevelType w:val="multilevel"/>
    <w:tmpl w:val="8D0A1B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DF46C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7637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8C5161"/>
    <w:multiLevelType w:val="multilevel"/>
    <w:tmpl w:val="BB901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223783"/>
    <w:multiLevelType w:val="hybridMultilevel"/>
    <w:tmpl w:val="B6D2438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7"/>
  </w:num>
  <w:num w:numId="6">
    <w:abstractNumId w:val="13"/>
  </w:num>
  <w:num w:numId="7">
    <w:abstractNumId w:val="6"/>
  </w:num>
  <w:num w:numId="8">
    <w:abstractNumId w:val="10"/>
  </w:num>
  <w:num w:numId="9">
    <w:abstractNumId w:val="0"/>
  </w:num>
  <w:num w:numId="10">
    <w:abstractNumId w:val="17"/>
  </w:num>
  <w:num w:numId="11">
    <w:abstractNumId w:val="2"/>
  </w:num>
  <w:num w:numId="12">
    <w:abstractNumId w:val="14"/>
  </w:num>
  <w:num w:numId="13">
    <w:abstractNumId w:val="16"/>
  </w:num>
  <w:num w:numId="14">
    <w:abstractNumId w:val="15"/>
  </w:num>
  <w:num w:numId="15">
    <w:abstractNumId w:val="5"/>
  </w:num>
  <w:num w:numId="16">
    <w:abstractNumId w:val="1"/>
  </w:num>
  <w:num w:numId="17">
    <w:abstractNumId w:val="11"/>
  </w:num>
  <w:num w:numId="18">
    <w:abstractNumId w:val="18"/>
  </w:num>
  <w:num w:numId="19">
    <w:abstractNumId w:val="19"/>
  </w:num>
  <w:num w:numId="20">
    <w:abstractNumId w:val="1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65"/>
    <w:rsid w:val="0000125B"/>
    <w:rsid w:val="000040E0"/>
    <w:rsid w:val="00021A25"/>
    <w:rsid w:val="00026186"/>
    <w:rsid w:val="00035B45"/>
    <w:rsid w:val="000375F5"/>
    <w:rsid w:val="00040FAB"/>
    <w:rsid w:val="00066F58"/>
    <w:rsid w:val="000821EE"/>
    <w:rsid w:val="00091F29"/>
    <w:rsid w:val="00094343"/>
    <w:rsid w:val="00095FFA"/>
    <w:rsid w:val="00097DA7"/>
    <w:rsid w:val="000A2124"/>
    <w:rsid w:val="000B5DBD"/>
    <w:rsid w:val="000C293C"/>
    <w:rsid w:val="000C3430"/>
    <w:rsid w:val="000F0436"/>
    <w:rsid w:val="00120012"/>
    <w:rsid w:val="00120705"/>
    <w:rsid w:val="001558A6"/>
    <w:rsid w:val="0019146C"/>
    <w:rsid w:val="001C77B2"/>
    <w:rsid w:val="001D1778"/>
    <w:rsid w:val="001E77E9"/>
    <w:rsid w:val="001F2692"/>
    <w:rsid w:val="001F6615"/>
    <w:rsid w:val="00223C13"/>
    <w:rsid w:val="002252DF"/>
    <w:rsid w:val="00226802"/>
    <w:rsid w:val="00233016"/>
    <w:rsid w:val="00237634"/>
    <w:rsid w:val="00247334"/>
    <w:rsid w:val="00284322"/>
    <w:rsid w:val="002D45FD"/>
    <w:rsid w:val="002E09E7"/>
    <w:rsid w:val="002F38CA"/>
    <w:rsid w:val="002F55CB"/>
    <w:rsid w:val="00307812"/>
    <w:rsid w:val="0031722F"/>
    <w:rsid w:val="00360384"/>
    <w:rsid w:val="003617BF"/>
    <w:rsid w:val="003625CE"/>
    <w:rsid w:val="00367E2A"/>
    <w:rsid w:val="00372212"/>
    <w:rsid w:val="00383A99"/>
    <w:rsid w:val="00386517"/>
    <w:rsid w:val="00394E8E"/>
    <w:rsid w:val="003A3BA1"/>
    <w:rsid w:val="003C0A3C"/>
    <w:rsid w:val="003C54BE"/>
    <w:rsid w:val="003C65F2"/>
    <w:rsid w:val="00401AB7"/>
    <w:rsid w:val="004049EA"/>
    <w:rsid w:val="00414F3F"/>
    <w:rsid w:val="004238CA"/>
    <w:rsid w:val="00432155"/>
    <w:rsid w:val="00432542"/>
    <w:rsid w:val="00450551"/>
    <w:rsid w:val="00460CFD"/>
    <w:rsid w:val="00490DE2"/>
    <w:rsid w:val="0049128B"/>
    <w:rsid w:val="00492F87"/>
    <w:rsid w:val="004A0E6B"/>
    <w:rsid w:val="004B135B"/>
    <w:rsid w:val="004B5A0A"/>
    <w:rsid w:val="004C31C3"/>
    <w:rsid w:val="004D2834"/>
    <w:rsid w:val="004D503F"/>
    <w:rsid w:val="004E7717"/>
    <w:rsid w:val="0052764C"/>
    <w:rsid w:val="005469E6"/>
    <w:rsid w:val="005A15C3"/>
    <w:rsid w:val="005A7D2B"/>
    <w:rsid w:val="005C4748"/>
    <w:rsid w:val="005C6EA7"/>
    <w:rsid w:val="005C7873"/>
    <w:rsid w:val="005F061B"/>
    <w:rsid w:val="006013F8"/>
    <w:rsid w:val="0060372E"/>
    <w:rsid w:val="006651B9"/>
    <w:rsid w:val="00672550"/>
    <w:rsid w:val="00685E43"/>
    <w:rsid w:val="006B58CF"/>
    <w:rsid w:val="006B62EC"/>
    <w:rsid w:val="006B774C"/>
    <w:rsid w:val="006C12A8"/>
    <w:rsid w:val="006C6D05"/>
    <w:rsid w:val="006D2576"/>
    <w:rsid w:val="006E1835"/>
    <w:rsid w:val="006E4BA5"/>
    <w:rsid w:val="00703979"/>
    <w:rsid w:val="007060DC"/>
    <w:rsid w:val="00712A1F"/>
    <w:rsid w:val="00712ADD"/>
    <w:rsid w:val="007228B4"/>
    <w:rsid w:val="00723FBB"/>
    <w:rsid w:val="00747DE0"/>
    <w:rsid w:val="00753618"/>
    <w:rsid w:val="0075400F"/>
    <w:rsid w:val="00755D85"/>
    <w:rsid w:val="00756486"/>
    <w:rsid w:val="007576A9"/>
    <w:rsid w:val="0078580E"/>
    <w:rsid w:val="007B69F3"/>
    <w:rsid w:val="007C4026"/>
    <w:rsid w:val="007C7B05"/>
    <w:rsid w:val="007E3058"/>
    <w:rsid w:val="00803EB0"/>
    <w:rsid w:val="00820436"/>
    <w:rsid w:val="00822D66"/>
    <w:rsid w:val="00843BD3"/>
    <w:rsid w:val="008455ED"/>
    <w:rsid w:val="00847520"/>
    <w:rsid w:val="008520B5"/>
    <w:rsid w:val="00852879"/>
    <w:rsid w:val="00853F5E"/>
    <w:rsid w:val="0086176A"/>
    <w:rsid w:val="008850ED"/>
    <w:rsid w:val="008916CE"/>
    <w:rsid w:val="00891B26"/>
    <w:rsid w:val="008B4006"/>
    <w:rsid w:val="008B65F0"/>
    <w:rsid w:val="008D0924"/>
    <w:rsid w:val="008F1841"/>
    <w:rsid w:val="008F5151"/>
    <w:rsid w:val="00914314"/>
    <w:rsid w:val="0094057D"/>
    <w:rsid w:val="00987443"/>
    <w:rsid w:val="009956C3"/>
    <w:rsid w:val="009C3CD5"/>
    <w:rsid w:val="009D1FFE"/>
    <w:rsid w:val="009D6D6C"/>
    <w:rsid w:val="009E5B38"/>
    <w:rsid w:val="00A124B9"/>
    <w:rsid w:val="00A21574"/>
    <w:rsid w:val="00A308D0"/>
    <w:rsid w:val="00A33EB3"/>
    <w:rsid w:val="00A4393F"/>
    <w:rsid w:val="00A54B53"/>
    <w:rsid w:val="00A9657A"/>
    <w:rsid w:val="00B00408"/>
    <w:rsid w:val="00B23323"/>
    <w:rsid w:val="00B35206"/>
    <w:rsid w:val="00B3611F"/>
    <w:rsid w:val="00B52EEA"/>
    <w:rsid w:val="00B60027"/>
    <w:rsid w:val="00B751A4"/>
    <w:rsid w:val="00BA0428"/>
    <w:rsid w:val="00BC5907"/>
    <w:rsid w:val="00BF4B06"/>
    <w:rsid w:val="00BF5D40"/>
    <w:rsid w:val="00C078E4"/>
    <w:rsid w:val="00C10903"/>
    <w:rsid w:val="00C252F9"/>
    <w:rsid w:val="00C40D11"/>
    <w:rsid w:val="00C6121A"/>
    <w:rsid w:val="00C61B05"/>
    <w:rsid w:val="00C634D0"/>
    <w:rsid w:val="00C6473B"/>
    <w:rsid w:val="00C84712"/>
    <w:rsid w:val="00CA02C3"/>
    <w:rsid w:val="00CB4260"/>
    <w:rsid w:val="00CC08D8"/>
    <w:rsid w:val="00CC0DBA"/>
    <w:rsid w:val="00CD0AA2"/>
    <w:rsid w:val="00CF5F01"/>
    <w:rsid w:val="00D34965"/>
    <w:rsid w:val="00D52CAC"/>
    <w:rsid w:val="00D608E8"/>
    <w:rsid w:val="00D627AE"/>
    <w:rsid w:val="00D9423A"/>
    <w:rsid w:val="00D943D5"/>
    <w:rsid w:val="00DA14F1"/>
    <w:rsid w:val="00DA1D16"/>
    <w:rsid w:val="00DB2FA1"/>
    <w:rsid w:val="00DD0225"/>
    <w:rsid w:val="00DD0744"/>
    <w:rsid w:val="00DE36F9"/>
    <w:rsid w:val="00DE3A0F"/>
    <w:rsid w:val="00DF0A1D"/>
    <w:rsid w:val="00DF6B67"/>
    <w:rsid w:val="00E061D9"/>
    <w:rsid w:val="00E10943"/>
    <w:rsid w:val="00E13154"/>
    <w:rsid w:val="00E21B91"/>
    <w:rsid w:val="00E21CA3"/>
    <w:rsid w:val="00E326A8"/>
    <w:rsid w:val="00E3650A"/>
    <w:rsid w:val="00E40959"/>
    <w:rsid w:val="00E40C13"/>
    <w:rsid w:val="00E65606"/>
    <w:rsid w:val="00E71680"/>
    <w:rsid w:val="00E9221C"/>
    <w:rsid w:val="00E96B24"/>
    <w:rsid w:val="00EA3582"/>
    <w:rsid w:val="00EB0860"/>
    <w:rsid w:val="00ED20F0"/>
    <w:rsid w:val="00EE228E"/>
    <w:rsid w:val="00EE678D"/>
    <w:rsid w:val="00EF35ED"/>
    <w:rsid w:val="00F022FC"/>
    <w:rsid w:val="00F13561"/>
    <w:rsid w:val="00F141ED"/>
    <w:rsid w:val="00F16877"/>
    <w:rsid w:val="00F26DDC"/>
    <w:rsid w:val="00F379CA"/>
    <w:rsid w:val="00F42188"/>
    <w:rsid w:val="00F515E1"/>
    <w:rsid w:val="00F6394C"/>
    <w:rsid w:val="00F736A1"/>
    <w:rsid w:val="00F77F51"/>
    <w:rsid w:val="00F824C2"/>
    <w:rsid w:val="00F975F2"/>
    <w:rsid w:val="00FB4244"/>
    <w:rsid w:val="00FD14CE"/>
    <w:rsid w:val="00FD4C7A"/>
    <w:rsid w:val="00FD50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CCF09E0"/>
  <w15:docId w15:val="{0B9F4BD9-1EAB-445E-8C3F-E3CC65CD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BA1"/>
  </w:style>
  <w:style w:type="paragraph" w:styleId="Footer">
    <w:name w:val="footer"/>
    <w:basedOn w:val="Normal"/>
    <w:link w:val="FooterChar"/>
    <w:uiPriority w:val="99"/>
    <w:unhideWhenUsed/>
    <w:rsid w:val="003A3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BA1"/>
  </w:style>
  <w:style w:type="paragraph" w:styleId="ListParagraph">
    <w:name w:val="List Paragraph"/>
    <w:basedOn w:val="Normal"/>
    <w:uiPriority w:val="34"/>
    <w:qFormat/>
    <w:rsid w:val="001F6615"/>
    <w:pPr>
      <w:ind w:left="720"/>
      <w:contextualSpacing/>
    </w:pPr>
  </w:style>
  <w:style w:type="paragraph" w:styleId="BalloonText">
    <w:name w:val="Balloon Text"/>
    <w:basedOn w:val="Normal"/>
    <w:link w:val="BalloonTextChar"/>
    <w:uiPriority w:val="99"/>
    <w:semiHidden/>
    <w:unhideWhenUsed/>
    <w:rsid w:val="00B2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23"/>
    <w:rPr>
      <w:rFonts w:ascii="Segoe UI" w:hAnsi="Segoe UI" w:cs="Segoe UI"/>
      <w:sz w:val="18"/>
      <w:szCs w:val="18"/>
    </w:rPr>
  </w:style>
  <w:style w:type="character" w:styleId="CommentReference">
    <w:name w:val="annotation reference"/>
    <w:basedOn w:val="DefaultParagraphFont"/>
    <w:uiPriority w:val="99"/>
    <w:semiHidden/>
    <w:unhideWhenUsed/>
    <w:rsid w:val="000375F5"/>
    <w:rPr>
      <w:sz w:val="16"/>
      <w:szCs w:val="16"/>
    </w:rPr>
  </w:style>
  <w:style w:type="paragraph" w:styleId="CommentText">
    <w:name w:val="annotation text"/>
    <w:basedOn w:val="Normal"/>
    <w:link w:val="CommentTextChar"/>
    <w:uiPriority w:val="99"/>
    <w:semiHidden/>
    <w:unhideWhenUsed/>
    <w:rsid w:val="000375F5"/>
    <w:pPr>
      <w:spacing w:line="240" w:lineRule="auto"/>
    </w:pPr>
    <w:rPr>
      <w:sz w:val="20"/>
      <w:szCs w:val="20"/>
    </w:rPr>
  </w:style>
  <w:style w:type="character" w:customStyle="1" w:styleId="CommentTextChar">
    <w:name w:val="Comment Text Char"/>
    <w:basedOn w:val="DefaultParagraphFont"/>
    <w:link w:val="CommentText"/>
    <w:uiPriority w:val="99"/>
    <w:semiHidden/>
    <w:rsid w:val="000375F5"/>
    <w:rPr>
      <w:sz w:val="20"/>
      <w:szCs w:val="20"/>
    </w:rPr>
  </w:style>
  <w:style w:type="paragraph" w:styleId="CommentSubject">
    <w:name w:val="annotation subject"/>
    <w:basedOn w:val="CommentText"/>
    <w:next w:val="CommentText"/>
    <w:link w:val="CommentSubjectChar"/>
    <w:uiPriority w:val="99"/>
    <w:semiHidden/>
    <w:unhideWhenUsed/>
    <w:rsid w:val="000375F5"/>
    <w:rPr>
      <w:b/>
      <w:bCs/>
    </w:rPr>
  </w:style>
  <w:style w:type="character" w:customStyle="1" w:styleId="CommentSubjectChar">
    <w:name w:val="Comment Subject Char"/>
    <w:basedOn w:val="CommentTextChar"/>
    <w:link w:val="CommentSubject"/>
    <w:uiPriority w:val="99"/>
    <w:semiHidden/>
    <w:rsid w:val="000375F5"/>
    <w:rPr>
      <w:b/>
      <w:bCs/>
      <w:sz w:val="20"/>
      <w:szCs w:val="20"/>
    </w:rPr>
  </w:style>
  <w:style w:type="paragraph" w:styleId="BodyText">
    <w:name w:val="Body Text"/>
    <w:basedOn w:val="Normal"/>
    <w:link w:val="BodyTextChar"/>
    <w:uiPriority w:val="1"/>
    <w:qFormat/>
    <w:rsid w:val="00307812"/>
    <w:pPr>
      <w:widowControl w:val="0"/>
      <w:spacing w:after="0" w:line="240" w:lineRule="auto"/>
      <w:ind w:left="840" w:hanging="360"/>
    </w:pPr>
    <w:rPr>
      <w:rFonts w:ascii="Cambria" w:eastAsia="Cambria" w:hAnsi="Cambria"/>
      <w:sz w:val="24"/>
      <w:szCs w:val="24"/>
      <w:lang w:val="en-US"/>
    </w:rPr>
  </w:style>
  <w:style w:type="character" w:customStyle="1" w:styleId="BodyTextChar">
    <w:name w:val="Body Text Char"/>
    <w:basedOn w:val="DefaultParagraphFont"/>
    <w:link w:val="BodyText"/>
    <w:uiPriority w:val="1"/>
    <w:rsid w:val="00307812"/>
    <w:rPr>
      <w:rFonts w:ascii="Cambria" w:eastAsia="Cambria" w:hAnsi="Cambria"/>
      <w:sz w:val="24"/>
      <w:szCs w:val="24"/>
      <w:lang w:val="en-US"/>
    </w:rPr>
  </w:style>
  <w:style w:type="paragraph" w:customStyle="1" w:styleId="TableParagraph">
    <w:name w:val="Table Paragraph"/>
    <w:basedOn w:val="Normal"/>
    <w:uiPriority w:val="1"/>
    <w:qFormat/>
    <w:rsid w:val="0030781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E2AB4BFD.dotm</Template>
  <TotalTime>1</TotalTime>
  <Pages>10</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Reid</dc:creator>
  <cp:keywords/>
  <dc:description/>
  <cp:lastModifiedBy>Cornelia Thomas</cp:lastModifiedBy>
  <cp:revision>2</cp:revision>
  <cp:lastPrinted>2017-01-31T09:12:00Z</cp:lastPrinted>
  <dcterms:created xsi:type="dcterms:W3CDTF">2017-07-11T13:51:00Z</dcterms:created>
  <dcterms:modified xsi:type="dcterms:W3CDTF">2017-07-11T13:51:00Z</dcterms:modified>
</cp:coreProperties>
</file>