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2367" w:type="dxa"/>
        <w:tblLook w:val="04A0" w:firstRow="1" w:lastRow="0" w:firstColumn="1" w:lastColumn="0" w:noHBand="0" w:noVBand="1"/>
      </w:tblPr>
      <w:tblGrid>
        <w:gridCol w:w="2226"/>
        <w:gridCol w:w="222"/>
      </w:tblGrid>
      <w:tr w:rsidR="00B5730B" w:rsidRPr="00111694" w14:paraId="2422A029" w14:textId="77777777" w:rsidTr="004C2CC1">
        <w:trPr>
          <w:trHeight w:val="1290"/>
        </w:trPr>
        <w:tc>
          <w:tcPr>
            <w:tcW w:w="705" w:type="dxa"/>
          </w:tcPr>
          <w:p w14:paraId="793AA284" w14:textId="1E82AEB3" w:rsidR="00B5730B" w:rsidRPr="00111694" w:rsidRDefault="00F37315" w:rsidP="00B5730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111694">
              <w:rPr>
                <w:rFonts w:asciiTheme="minorHAnsi" w:hAnsiTheme="minorHAnsi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8874E80" wp14:editId="784E6294">
                  <wp:extent cx="1257300" cy="1123950"/>
                  <wp:effectExtent l="19050" t="0" r="0" b="0"/>
                  <wp:docPr id="4" name="Picture 0" descr="BANGOR UN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0" descr="BANGOR UN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</w:tcPr>
          <w:p w14:paraId="2840A1DF" w14:textId="31F0420E" w:rsidR="00B5730B" w:rsidRPr="00111694" w:rsidRDefault="00B5730B" w:rsidP="2BA233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36"/>
                <w:szCs w:val="36"/>
                <w:lang w:eastAsia="en-GB"/>
              </w:rPr>
            </w:pPr>
            <w:r w:rsidRPr="2BA233C6">
              <w:rPr>
                <w:rFonts w:asciiTheme="minorHAnsi" w:hAnsiTheme="minorHAnsi" w:cs="Arial"/>
                <w:b/>
                <w:bCs/>
                <w:noProof/>
                <w:sz w:val="36"/>
                <w:szCs w:val="36"/>
                <w:lang w:eastAsia="en-GB"/>
              </w:rPr>
              <w:t xml:space="preserve">          </w:t>
            </w:r>
          </w:p>
          <w:p w14:paraId="528EB44A" w14:textId="77777777" w:rsidR="00B5730B" w:rsidRPr="00111694" w:rsidRDefault="00B5730B" w:rsidP="00B5730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32"/>
                <w:szCs w:val="32"/>
                <w:lang w:eastAsia="en-GB"/>
              </w:rPr>
            </w:pPr>
          </w:p>
          <w:p w14:paraId="47A75146" w14:textId="77777777" w:rsidR="00B5730B" w:rsidRPr="00111694" w:rsidRDefault="00B5730B" w:rsidP="00B5730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32"/>
                <w:szCs w:val="32"/>
                <w:lang w:eastAsia="en-GB"/>
              </w:rPr>
            </w:pPr>
          </w:p>
          <w:p w14:paraId="78E5D4D3" w14:textId="77777777" w:rsidR="00B5730B" w:rsidRPr="00111694" w:rsidRDefault="00B5730B" w:rsidP="00B5730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32"/>
                <w:szCs w:val="32"/>
                <w:lang w:eastAsia="en-GB"/>
              </w:rPr>
            </w:pPr>
          </w:p>
        </w:tc>
      </w:tr>
    </w:tbl>
    <w:p w14:paraId="7BB733F7" w14:textId="3E5183D1" w:rsidR="0070725C" w:rsidRDefault="0070725C" w:rsidP="3EEEA306">
      <w:pPr>
        <w:pStyle w:val="Heading3"/>
        <w:rPr>
          <w:rFonts w:asciiTheme="minorHAnsi" w:hAnsiTheme="minorHAnsi"/>
          <w:color w:val="333333"/>
          <w:sz w:val="22"/>
          <w:szCs w:val="22"/>
        </w:rPr>
      </w:pPr>
      <w:r w:rsidRPr="2BA233C6">
        <w:rPr>
          <w:rFonts w:asciiTheme="minorHAnsi" w:hAnsiTheme="minorHAnsi"/>
          <w:noProof/>
          <w:sz w:val="36"/>
          <w:szCs w:val="36"/>
          <w:lang w:eastAsia="en-GB"/>
        </w:rPr>
        <w:t>How much can I borrow?</w:t>
      </w:r>
    </w:p>
    <w:p w14:paraId="0DC315A2" w14:textId="6922EBA6" w:rsidR="00B52633" w:rsidRPr="00111694" w:rsidRDefault="00B52633" w:rsidP="3EEEA306">
      <w:pPr>
        <w:pStyle w:val="Heading3"/>
        <w:rPr>
          <w:rFonts w:asciiTheme="minorHAnsi" w:hAnsiTheme="minorHAnsi"/>
          <w:color w:val="333333"/>
          <w:sz w:val="22"/>
          <w:szCs w:val="22"/>
        </w:rPr>
      </w:pPr>
      <w:r w:rsidRPr="3EEEA306">
        <w:rPr>
          <w:rFonts w:asciiTheme="minorHAnsi" w:hAnsiTheme="minorHAnsi"/>
          <w:color w:val="333333"/>
          <w:sz w:val="22"/>
          <w:szCs w:val="22"/>
        </w:rPr>
        <w:t>What aid you may be eligible for:</w:t>
      </w:r>
    </w:p>
    <w:p w14:paraId="1021A479" w14:textId="7DF3D666" w:rsidR="00B52633" w:rsidRPr="00111694" w:rsidRDefault="00B52633" w:rsidP="1BCEB689">
      <w:pPr>
        <w:pStyle w:val="NormalWeb"/>
        <w:rPr>
          <w:rFonts w:asciiTheme="minorHAnsi" w:hAnsiTheme="minorHAnsi" w:cs="Arial"/>
          <w:color w:val="333333"/>
          <w:sz w:val="22"/>
          <w:szCs w:val="22"/>
        </w:rPr>
      </w:pPr>
      <w:r w:rsidRPr="1BCEB689">
        <w:rPr>
          <w:rFonts w:asciiTheme="minorHAnsi" w:hAnsiTheme="minorHAnsi" w:cs="Arial"/>
          <w:sz w:val="22"/>
          <w:szCs w:val="22"/>
        </w:rPr>
        <w:t xml:space="preserve">Students studying in foreign schools are not eligible for grants from the US Federal </w:t>
      </w:r>
      <w:r w:rsidR="60628D14" w:rsidRPr="1BCEB689">
        <w:rPr>
          <w:rFonts w:asciiTheme="minorHAnsi" w:hAnsiTheme="minorHAnsi" w:cs="Arial"/>
          <w:sz w:val="22"/>
          <w:szCs w:val="22"/>
        </w:rPr>
        <w:t>Government but</w:t>
      </w:r>
      <w:r w:rsidRPr="1BCEB689">
        <w:rPr>
          <w:rFonts w:asciiTheme="minorHAnsi" w:hAnsiTheme="minorHAnsi" w:cs="Arial"/>
          <w:sz w:val="22"/>
          <w:szCs w:val="22"/>
        </w:rPr>
        <w:t xml:space="preserve"> may apply for loans. </w:t>
      </w:r>
      <w:r w:rsidR="00F040CD" w:rsidRPr="1BCEB689">
        <w:rPr>
          <w:rFonts w:asciiTheme="minorHAnsi" w:hAnsiTheme="minorHAnsi" w:cs="Arial"/>
          <w:sz w:val="22"/>
          <w:szCs w:val="22"/>
        </w:rPr>
        <w:t xml:space="preserve"> </w:t>
      </w:r>
      <w:r w:rsidRPr="1BCEB689">
        <w:rPr>
          <w:rFonts w:asciiTheme="minorHAnsi" w:hAnsiTheme="minorHAnsi" w:cs="Arial"/>
          <w:sz w:val="22"/>
          <w:szCs w:val="22"/>
        </w:rPr>
        <w:t>There are four types of loans</w:t>
      </w:r>
      <w:r w:rsidR="0024681F" w:rsidRPr="1BCEB689">
        <w:rPr>
          <w:rFonts w:asciiTheme="minorHAnsi" w:hAnsiTheme="minorHAnsi" w:cs="Arial"/>
          <w:sz w:val="22"/>
          <w:szCs w:val="22"/>
        </w:rPr>
        <w:t xml:space="preserve"> (</w:t>
      </w:r>
      <w:r w:rsidR="00035A39" w:rsidRPr="1BCEB689">
        <w:rPr>
          <w:rFonts w:asciiTheme="minorHAnsi" w:hAnsiTheme="minorHAnsi" w:cs="Arial"/>
          <w:sz w:val="22"/>
          <w:szCs w:val="22"/>
        </w:rPr>
        <w:t xml:space="preserve">the first </w:t>
      </w:r>
      <w:r w:rsidR="0024681F" w:rsidRPr="1BCEB689">
        <w:rPr>
          <w:rFonts w:asciiTheme="minorHAnsi" w:hAnsiTheme="minorHAnsi" w:cs="Arial"/>
          <w:sz w:val="22"/>
          <w:szCs w:val="22"/>
        </w:rPr>
        <w:t>three of which are administered under the William D Ford Federal Direct Loans program)</w:t>
      </w:r>
      <w:r w:rsidRPr="1BCEB689">
        <w:rPr>
          <w:rFonts w:asciiTheme="minorHAnsi" w:hAnsiTheme="minorHAnsi" w:cs="Arial"/>
          <w:sz w:val="22"/>
          <w:szCs w:val="22"/>
        </w:rPr>
        <w:t>:</w:t>
      </w:r>
    </w:p>
    <w:p w14:paraId="75AF6768" w14:textId="77777777" w:rsidR="00B52633" w:rsidRPr="00111694" w:rsidRDefault="00B52633" w:rsidP="00B52633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</w:rPr>
      </w:pPr>
      <w:r w:rsidRPr="00111694">
        <w:rPr>
          <w:rFonts w:asciiTheme="minorHAnsi" w:hAnsiTheme="minorHAnsi" w:cs="Arial"/>
          <w:color w:val="000000"/>
          <w:sz w:val="22"/>
          <w:szCs w:val="22"/>
        </w:rPr>
        <w:t xml:space="preserve">Stafford subsidised </w:t>
      </w:r>
    </w:p>
    <w:p w14:paraId="651EFC7C" w14:textId="77777777" w:rsidR="00B52633" w:rsidRPr="00111694" w:rsidRDefault="00B52633" w:rsidP="00B52633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</w:rPr>
      </w:pPr>
      <w:r w:rsidRPr="00111694">
        <w:rPr>
          <w:rFonts w:asciiTheme="minorHAnsi" w:hAnsiTheme="minorHAnsi" w:cs="Arial"/>
          <w:color w:val="000000"/>
          <w:sz w:val="22"/>
          <w:szCs w:val="22"/>
        </w:rPr>
        <w:t xml:space="preserve">Stafford unsubsidised </w:t>
      </w:r>
    </w:p>
    <w:p w14:paraId="70C91D0D" w14:textId="77777777" w:rsidR="00B52633" w:rsidRPr="00111694" w:rsidRDefault="00B52633" w:rsidP="00B52633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</w:rPr>
      </w:pPr>
      <w:r w:rsidRPr="00111694">
        <w:rPr>
          <w:rFonts w:asciiTheme="minorHAnsi" w:hAnsiTheme="minorHAnsi" w:cs="Arial"/>
          <w:color w:val="000000"/>
          <w:sz w:val="22"/>
          <w:szCs w:val="22"/>
        </w:rPr>
        <w:t xml:space="preserve">PLUS (for graduates and parents of dependent undergraduates - these are subject to credit rating) </w:t>
      </w:r>
    </w:p>
    <w:p w14:paraId="6E6C6D29" w14:textId="77777777" w:rsidR="00B52633" w:rsidRPr="00111694" w:rsidRDefault="00B52633" w:rsidP="00B52633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</w:rPr>
      </w:pPr>
      <w:r w:rsidRPr="00111694">
        <w:rPr>
          <w:rFonts w:asciiTheme="minorHAnsi" w:hAnsiTheme="minorHAnsi" w:cs="Arial"/>
          <w:color w:val="000000"/>
          <w:sz w:val="22"/>
          <w:szCs w:val="22"/>
        </w:rPr>
        <w:t>Private (subject to credit rating and often requiring a co-sign</w:t>
      </w:r>
      <w:r w:rsidR="0024681F" w:rsidRPr="00111694">
        <w:rPr>
          <w:rFonts w:asciiTheme="minorHAnsi" w:hAnsiTheme="minorHAnsi" w:cs="Arial"/>
          <w:color w:val="000000"/>
          <w:sz w:val="22"/>
          <w:szCs w:val="22"/>
        </w:rPr>
        <w:t>e</w:t>
      </w:r>
      <w:r w:rsidRPr="00111694">
        <w:rPr>
          <w:rFonts w:asciiTheme="minorHAnsi" w:hAnsiTheme="minorHAnsi" w:cs="Arial"/>
          <w:color w:val="000000"/>
          <w:sz w:val="22"/>
          <w:szCs w:val="22"/>
        </w:rPr>
        <w:t>r - these are usually at commercial rates)</w:t>
      </w:r>
    </w:p>
    <w:p w14:paraId="5B29164F" w14:textId="126333F1" w:rsidR="00B5730B" w:rsidRPr="004C2CC1" w:rsidRDefault="00B52633" w:rsidP="00B52633">
      <w:pPr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en-GB"/>
        </w:rPr>
      </w:pPr>
      <w:r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>Education Loans (Stafford, PLUS and any private loan) are to cover the primary costs of education (</w:t>
      </w:r>
      <w:r w:rsidR="00F040CD"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>t</w:t>
      </w:r>
      <w:r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>uition</w:t>
      </w:r>
      <w:r w:rsidR="00F040CD"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fees</w:t>
      </w:r>
      <w:r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>, student accommodation, books/supplies, travel</w:t>
      </w:r>
      <w:r w:rsidR="00F040CD"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</w:t>
      </w:r>
      <w:r w:rsidR="00D4202B"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>etc.</w:t>
      </w:r>
      <w:r w:rsidR="00D4202B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) </w:t>
      </w:r>
      <w:r w:rsidR="00F040CD"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</w:t>
      </w:r>
      <w:r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Loans are not intended to cover other expenses, not directly related to study. </w:t>
      </w:r>
      <w:r w:rsidR="00F040CD"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</w:t>
      </w:r>
      <w:r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You should plan a budget and make sure you have enough money for your time of study. </w:t>
      </w:r>
      <w:r w:rsidR="00F040CD"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</w:t>
      </w:r>
      <w:r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Borrow what you </w:t>
      </w:r>
      <w:r w:rsidR="002806BD"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>need but</w:t>
      </w:r>
      <w:r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remember </w:t>
      </w:r>
      <w:r w:rsidRPr="00111694">
        <w:rPr>
          <w:rFonts w:asciiTheme="minorHAnsi" w:hAnsiTheme="minorHAnsi" w:cs="Arial"/>
          <w:b/>
          <w:bCs/>
          <w:color w:val="000000"/>
          <w:sz w:val="22"/>
          <w:szCs w:val="22"/>
          <w:lang w:eastAsia="en-GB"/>
        </w:rPr>
        <w:t xml:space="preserve">you </w:t>
      </w:r>
      <w:r w:rsidR="002806BD" w:rsidRPr="00111694">
        <w:rPr>
          <w:rFonts w:asciiTheme="minorHAnsi" w:hAnsiTheme="minorHAnsi" w:cs="Arial"/>
          <w:b/>
          <w:bCs/>
          <w:color w:val="000000"/>
          <w:sz w:val="22"/>
          <w:szCs w:val="22"/>
          <w:lang w:eastAsia="en-GB"/>
        </w:rPr>
        <w:t>must</w:t>
      </w:r>
      <w:r w:rsidRPr="00111694">
        <w:rPr>
          <w:rFonts w:asciiTheme="minorHAnsi" w:hAnsiTheme="minorHAnsi" w:cs="Arial"/>
          <w:b/>
          <w:bCs/>
          <w:color w:val="000000"/>
          <w:sz w:val="22"/>
          <w:szCs w:val="22"/>
          <w:lang w:eastAsia="en-GB"/>
        </w:rPr>
        <w:t xml:space="preserve"> repay it</w:t>
      </w:r>
      <w:r w:rsidRPr="00111694">
        <w:rPr>
          <w:rFonts w:asciiTheme="minorHAnsi" w:hAnsiTheme="minorHAnsi" w:cs="Arial"/>
          <w:color w:val="000000"/>
          <w:sz w:val="22"/>
          <w:szCs w:val="22"/>
          <w:lang w:eastAsia="en-GB"/>
        </w:rPr>
        <w:t>.</w:t>
      </w:r>
    </w:p>
    <w:p w14:paraId="5249CAEF" w14:textId="77777777" w:rsidR="0052652D" w:rsidRPr="00111694" w:rsidRDefault="0052652D" w:rsidP="00B52633">
      <w:pPr>
        <w:spacing w:before="100" w:beforeAutospacing="1" w:after="100" w:afterAutospacing="1"/>
        <w:rPr>
          <w:rFonts w:asciiTheme="minorHAnsi" w:hAnsiTheme="minorHAnsi" w:cs="Arial"/>
          <w:b/>
          <w:color w:val="000000"/>
          <w:sz w:val="22"/>
          <w:szCs w:val="22"/>
          <w:lang w:eastAsia="en-GB"/>
        </w:rPr>
      </w:pPr>
      <w:r w:rsidRPr="00111694">
        <w:rPr>
          <w:rFonts w:asciiTheme="minorHAnsi" w:hAnsiTheme="minorHAnsi" w:cs="Arial"/>
          <w:b/>
          <w:color w:val="000000"/>
          <w:sz w:val="22"/>
          <w:szCs w:val="22"/>
          <w:lang w:eastAsia="en-GB"/>
        </w:rPr>
        <w:t>Ineligible</w:t>
      </w:r>
      <w:r w:rsidR="000A3322" w:rsidRPr="00111694">
        <w:rPr>
          <w:rFonts w:asciiTheme="minorHAnsi" w:hAnsiTheme="minorHAnsi" w:cs="Arial"/>
          <w:b/>
          <w:color w:val="000000"/>
          <w:sz w:val="22"/>
          <w:szCs w:val="22"/>
          <w:lang w:eastAsia="en-GB"/>
        </w:rPr>
        <w:t xml:space="preserve"> Courses</w:t>
      </w:r>
    </w:p>
    <w:p w14:paraId="73FB24CA" w14:textId="04ADE57F" w:rsidR="0052652D" w:rsidRPr="00AC770D" w:rsidRDefault="0052652D" w:rsidP="1BCEB689">
      <w:pPr>
        <w:spacing w:before="100" w:beforeAutospacing="1" w:after="100" w:afterAutospacing="1"/>
        <w:jc w:val="both"/>
        <w:rPr>
          <w:rFonts w:asciiTheme="minorHAnsi" w:hAnsiTheme="minorHAnsi" w:cs="Arial"/>
          <w:color w:val="000000"/>
          <w:sz w:val="22"/>
          <w:szCs w:val="22"/>
          <w:lang w:eastAsia="en-GB"/>
        </w:rPr>
      </w:pPr>
      <w:r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There are some programmes</w:t>
      </w:r>
      <w:r w:rsidR="00436393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 (</w:t>
      </w:r>
      <w:r w:rsidR="002806BD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e.g.,</w:t>
      </w:r>
      <w:r w:rsidR="00436393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 Bachelor of Nursing Degree, Distance Learning courses</w:t>
      </w:r>
      <w:r w:rsidR="007008FC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, courses</w:t>
      </w:r>
      <w:r w:rsidR="005643F4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 with an internship/placement element)</w:t>
      </w:r>
      <w:r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 which a</w:t>
      </w:r>
      <w:r w:rsidR="00436393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re ineligible to receive US Government funded loans </w:t>
      </w:r>
      <w:r w:rsidR="002806BD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i.e.,</w:t>
      </w:r>
      <w:r w:rsidR="00436393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 Staffo</w:t>
      </w:r>
      <w:r w:rsidR="000674CC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r</w:t>
      </w:r>
      <w:r w:rsidR="00436393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d or GRAD PLUS.  </w:t>
      </w:r>
      <w:r w:rsidR="00AC4B45" w:rsidRPr="1BCEB689">
        <w:rPr>
          <w:rFonts w:asciiTheme="minorHAnsi" w:hAnsiTheme="minorHAnsi"/>
          <w:sz w:val="22"/>
          <w:szCs w:val="22"/>
        </w:rPr>
        <w:t xml:space="preserve">In </w:t>
      </w:r>
      <w:r w:rsidR="300CB043" w:rsidRPr="1BCEB689">
        <w:rPr>
          <w:rFonts w:asciiTheme="minorHAnsi" w:hAnsiTheme="minorHAnsi"/>
          <w:sz w:val="22"/>
          <w:szCs w:val="22"/>
        </w:rPr>
        <w:t>addition,</w:t>
      </w:r>
      <w:r w:rsidR="00AC4B45" w:rsidRPr="1BCEB689">
        <w:rPr>
          <w:rFonts w:asciiTheme="minorHAnsi" w:hAnsiTheme="minorHAnsi"/>
          <w:sz w:val="22"/>
          <w:szCs w:val="22"/>
        </w:rPr>
        <w:t xml:space="preserve"> Bangor University cannot certify US Government funded loans for any Certificate or Diploma courses. </w:t>
      </w:r>
      <w:r w:rsidR="00BE06F6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Y</w:t>
      </w:r>
      <w:r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ou will be advised by the </w:t>
      </w:r>
      <w:r w:rsidR="00436393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US Loans </w:t>
      </w:r>
      <w:r w:rsidR="0033478A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Ad</w:t>
      </w:r>
      <w:r w:rsidR="00436393"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visor </w:t>
      </w:r>
      <w:r w:rsidRPr="1BCEB689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during the application process if your programme is ineligible.</w:t>
      </w:r>
    </w:p>
    <w:p w14:paraId="27445811" w14:textId="016CD94F" w:rsidR="3EEEA306" w:rsidRPr="004C2CC1" w:rsidRDefault="000A3322" w:rsidP="004C2CC1">
      <w:pPr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en-GB"/>
        </w:rPr>
      </w:pPr>
      <w:r w:rsidRPr="3EEEA306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Students undertaking distance learning courses</w:t>
      </w:r>
      <w:r w:rsidR="00A12E79" w:rsidRPr="3EEEA306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 or other ineligible courses</w:t>
      </w:r>
      <w:r w:rsidRPr="3EEEA306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 provided by </w:t>
      </w:r>
      <w:r w:rsidR="00F040CD" w:rsidRPr="3EEEA306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Bangor</w:t>
      </w:r>
      <w:r w:rsidRPr="3EEEA306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 </w:t>
      </w:r>
      <w:r w:rsidR="0011714A" w:rsidRPr="3EEEA306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University </w:t>
      </w:r>
      <w:r w:rsidRPr="3EEEA306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 xml:space="preserve">can apply for Private </w:t>
      </w:r>
      <w:r w:rsidR="009340CD" w:rsidRPr="3EEEA306">
        <w:rPr>
          <w:rFonts w:asciiTheme="minorHAnsi" w:hAnsiTheme="minorHAnsi" w:cs="Arial"/>
          <w:color w:val="000000" w:themeColor="text1"/>
          <w:sz w:val="22"/>
          <w:szCs w:val="22"/>
          <w:lang w:eastAsia="en-GB"/>
        </w:rPr>
        <w:t>loans to cover costs of tuition.</w:t>
      </w:r>
    </w:p>
    <w:p w14:paraId="37B23125" w14:textId="0D82A642" w:rsidR="005D79FB" w:rsidRPr="00111694" w:rsidRDefault="005D79FB" w:rsidP="005D79F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2"/>
          <w:szCs w:val="22"/>
        </w:rPr>
      </w:pPr>
      <w:r w:rsidRPr="00111694">
        <w:rPr>
          <w:rFonts w:asciiTheme="minorHAnsi" w:hAnsiTheme="minorHAnsi" w:cs="Arial"/>
          <w:b/>
          <w:bCs/>
          <w:iCs/>
          <w:sz w:val="22"/>
          <w:szCs w:val="22"/>
        </w:rPr>
        <w:t>Certified Loan Amounts</w:t>
      </w:r>
    </w:p>
    <w:p w14:paraId="703FAE42" w14:textId="2021D657" w:rsidR="00B5730B" w:rsidRPr="00111694" w:rsidRDefault="003017AB" w:rsidP="3EEEA306">
      <w:pPr>
        <w:pStyle w:val="NormalWeb"/>
        <w:rPr>
          <w:rFonts w:asciiTheme="minorHAnsi" w:hAnsiTheme="minorHAnsi" w:cs="Arial"/>
          <w:sz w:val="22"/>
          <w:szCs w:val="22"/>
        </w:rPr>
      </w:pPr>
      <w:r w:rsidRPr="1BCEB689">
        <w:rPr>
          <w:rFonts w:asciiTheme="minorHAnsi" w:hAnsiTheme="minorHAnsi" w:cs="Arial"/>
          <w:sz w:val="22"/>
          <w:szCs w:val="22"/>
        </w:rPr>
        <w:t xml:space="preserve">Loan amounts are detailed in the following table.  </w:t>
      </w:r>
      <w:r w:rsidR="005D79FB" w:rsidRPr="1BCEB689">
        <w:rPr>
          <w:rFonts w:asciiTheme="minorHAnsi" w:hAnsiTheme="minorHAnsi" w:cs="Arial"/>
          <w:sz w:val="22"/>
          <w:szCs w:val="22"/>
        </w:rPr>
        <w:t>Stafford Loa</w:t>
      </w:r>
      <w:r w:rsidR="00903662" w:rsidRPr="1BCEB689">
        <w:rPr>
          <w:rFonts w:asciiTheme="minorHAnsi" w:hAnsiTheme="minorHAnsi" w:cs="Arial"/>
          <w:sz w:val="22"/>
          <w:szCs w:val="22"/>
        </w:rPr>
        <w:t>ns are fixed to a maximum of $20</w:t>
      </w:r>
      <w:r w:rsidR="005D79FB" w:rsidRPr="1BCEB689">
        <w:rPr>
          <w:rFonts w:asciiTheme="minorHAnsi" w:hAnsiTheme="minorHAnsi" w:cs="Arial"/>
          <w:sz w:val="22"/>
          <w:szCs w:val="22"/>
        </w:rPr>
        <w:t>,500 for graduates (</w:t>
      </w:r>
      <w:r w:rsidRPr="1BCEB689">
        <w:rPr>
          <w:rFonts w:asciiTheme="minorHAnsi" w:hAnsiTheme="minorHAnsi" w:cs="Arial"/>
          <w:sz w:val="22"/>
          <w:szCs w:val="22"/>
        </w:rPr>
        <w:t xml:space="preserve">wholly unsubsidized; from July 2012 there are no subsidised loans for graduate students). </w:t>
      </w:r>
      <w:r w:rsidR="00F040CD" w:rsidRPr="1BCEB689">
        <w:rPr>
          <w:rFonts w:asciiTheme="minorHAnsi" w:hAnsiTheme="minorHAnsi" w:cs="Arial"/>
          <w:sz w:val="22"/>
          <w:szCs w:val="22"/>
        </w:rPr>
        <w:t xml:space="preserve"> </w:t>
      </w:r>
      <w:r w:rsidR="005D79FB" w:rsidRPr="1BCEB689">
        <w:rPr>
          <w:rFonts w:asciiTheme="minorHAnsi" w:hAnsiTheme="minorHAnsi" w:cs="Arial"/>
          <w:sz w:val="22"/>
          <w:szCs w:val="22"/>
        </w:rPr>
        <w:t>The level of subsidised and unsubsidised loan is decided by your Expected Family Contribution (EFC), shown on your</w:t>
      </w:r>
      <w:r w:rsidR="000F688D" w:rsidRPr="1BCEB689">
        <w:rPr>
          <w:rFonts w:asciiTheme="minorHAnsi" w:hAnsiTheme="minorHAnsi" w:cs="Arial"/>
          <w:sz w:val="22"/>
          <w:szCs w:val="22"/>
        </w:rPr>
        <w:t xml:space="preserve"> </w:t>
      </w:r>
      <w:r w:rsidR="00B5730B" w:rsidRPr="1BCEB689">
        <w:rPr>
          <w:rFonts w:asciiTheme="minorHAnsi" w:hAnsiTheme="minorHAnsi" w:cs="Arial"/>
          <w:sz w:val="22"/>
          <w:szCs w:val="22"/>
        </w:rPr>
        <w:t xml:space="preserve">Student </w:t>
      </w:r>
      <w:r w:rsidR="005D79FB" w:rsidRPr="1BCEB689">
        <w:rPr>
          <w:rFonts w:asciiTheme="minorHAnsi" w:hAnsiTheme="minorHAnsi" w:cs="Arial"/>
          <w:sz w:val="22"/>
          <w:szCs w:val="22"/>
        </w:rPr>
        <w:t>A</w:t>
      </w:r>
      <w:r w:rsidR="00B5730B" w:rsidRPr="1BCEB689">
        <w:rPr>
          <w:rFonts w:asciiTheme="minorHAnsi" w:hAnsiTheme="minorHAnsi" w:cs="Arial"/>
          <w:sz w:val="22"/>
          <w:szCs w:val="22"/>
        </w:rPr>
        <w:t xml:space="preserve">id </w:t>
      </w:r>
      <w:r w:rsidR="005D79FB" w:rsidRPr="1BCEB689">
        <w:rPr>
          <w:rFonts w:asciiTheme="minorHAnsi" w:hAnsiTheme="minorHAnsi" w:cs="Arial"/>
          <w:sz w:val="22"/>
          <w:szCs w:val="22"/>
        </w:rPr>
        <w:t>R</w:t>
      </w:r>
      <w:r w:rsidR="00B5730B" w:rsidRPr="1BCEB689">
        <w:rPr>
          <w:rFonts w:asciiTheme="minorHAnsi" w:hAnsiTheme="minorHAnsi" w:cs="Arial"/>
          <w:sz w:val="22"/>
          <w:szCs w:val="22"/>
        </w:rPr>
        <w:t>eport (SAR)</w:t>
      </w:r>
      <w:r w:rsidR="00D14070" w:rsidRPr="1BCEB689">
        <w:rPr>
          <w:rFonts w:asciiTheme="minorHAnsi" w:hAnsiTheme="minorHAnsi" w:cs="Arial"/>
          <w:sz w:val="22"/>
          <w:szCs w:val="22"/>
        </w:rPr>
        <w:t>.</w:t>
      </w:r>
      <w:r w:rsidR="006D2CDC" w:rsidRPr="1BCEB689">
        <w:rPr>
          <w:rFonts w:asciiTheme="minorHAnsi" w:hAnsiTheme="minorHAnsi" w:cs="Arial"/>
          <w:sz w:val="22"/>
          <w:szCs w:val="22"/>
        </w:rPr>
        <w:t xml:space="preserve"> </w:t>
      </w:r>
      <w:r w:rsidR="005D79FB" w:rsidRPr="1BCEB689">
        <w:rPr>
          <w:rFonts w:asciiTheme="minorHAnsi" w:hAnsiTheme="minorHAnsi" w:cs="Arial"/>
          <w:sz w:val="22"/>
          <w:szCs w:val="22"/>
        </w:rPr>
        <w:t>Students are eligible for different amounts of Stafford per year depending on their gr</w:t>
      </w:r>
      <w:r w:rsidRPr="1BCEB689">
        <w:rPr>
          <w:rFonts w:asciiTheme="minorHAnsi" w:hAnsiTheme="minorHAnsi" w:cs="Arial"/>
          <w:sz w:val="22"/>
          <w:szCs w:val="22"/>
        </w:rPr>
        <w:t>ade level and dependency status.</w:t>
      </w:r>
    </w:p>
    <w:p w14:paraId="560D1695" w14:textId="6830F7BC" w:rsidR="00B5730B" w:rsidRDefault="00B5730B" w:rsidP="006D2CDC">
      <w:pPr>
        <w:pStyle w:val="NormalWeb"/>
        <w:rPr>
          <w:rFonts w:asciiTheme="minorHAnsi" w:hAnsiTheme="minorHAnsi" w:cs="Arial"/>
          <w:sz w:val="22"/>
          <w:szCs w:val="22"/>
        </w:rPr>
      </w:pPr>
    </w:p>
    <w:p w14:paraId="399CC542" w14:textId="4E484646" w:rsidR="004C2CC1" w:rsidRDefault="004C2CC1" w:rsidP="006D2CDC">
      <w:pPr>
        <w:pStyle w:val="NormalWeb"/>
        <w:rPr>
          <w:rFonts w:asciiTheme="minorHAnsi" w:hAnsiTheme="minorHAnsi" w:cs="Arial"/>
          <w:sz w:val="22"/>
          <w:szCs w:val="22"/>
        </w:rPr>
      </w:pPr>
    </w:p>
    <w:p w14:paraId="45BCC857" w14:textId="77777777" w:rsidR="004C2CC1" w:rsidRPr="00111694" w:rsidRDefault="004C2CC1" w:rsidP="006D2CDC">
      <w:pPr>
        <w:pStyle w:val="NormalWeb"/>
        <w:rPr>
          <w:rFonts w:asciiTheme="minorHAnsi" w:hAnsiTheme="minorHAnsi" w:cs="Arial"/>
          <w:sz w:val="22"/>
          <w:szCs w:val="22"/>
        </w:rPr>
      </w:pP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3128"/>
        <w:gridCol w:w="1990"/>
        <w:gridCol w:w="2143"/>
        <w:gridCol w:w="2367"/>
      </w:tblGrid>
      <w:tr w:rsidR="005D79FB" w:rsidRPr="00111694" w14:paraId="7FB0B45C" w14:textId="77777777" w:rsidTr="00707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82" w:type="dxa"/>
          </w:tcPr>
          <w:p w14:paraId="4F284598" w14:textId="77777777" w:rsidR="005D79FB" w:rsidRPr="00111694" w:rsidRDefault="005D79FB" w:rsidP="009815E8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lastRenderedPageBreak/>
              <w:t>Dependent Undergraduates</w:t>
            </w:r>
          </w:p>
        </w:tc>
        <w:tc>
          <w:tcPr>
            <w:tcW w:w="2043" w:type="dxa"/>
          </w:tcPr>
          <w:p w14:paraId="5702AE89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Initial Subsidized</w:t>
            </w:r>
          </w:p>
        </w:tc>
        <w:tc>
          <w:tcPr>
            <w:tcW w:w="2190" w:type="dxa"/>
          </w:tcPr>
          <w:p w14:paraId="1CEEA134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Additional Unsubsidized</w:t>
            </w:r>
          </w:p>
        </w:tc>
        <w:tc>
          <w:tcPr>
            <w:tcW w:w="2439" w:type="dxa"/>
          </w:tcPr>
          <w:p w14:paraId="09AAFCCB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Combined (maximum) Levels</w:t>
            </w:r>
          </w:p>
        </w:tc>
      </w:tr>
      <w:tr w:rsidR="005D79FB" w:rsidRPr="00111694" w14:paraId="2C27F71A" w14:textId="77777777" w:rsidTr="0070725C">
        <w:tc>
          <w:tcPr>
            <w:tcW w:w="3182" w:type="dxa"/>
          </w:tcPr>
          <w:p w14:paraId="39042B9A" w14:textId="77777777" w:rsidR="005D79FB" w:rsidRPr="00111694" w:rsidRDefault="005D79FB" w:rsidP="00981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11169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st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 xml:space="preserve"> Year</w:t>
            </w:r>
          </w:p>
        </w:tc>
        <w:tc>
          <w:tcPr>
            <w:tcW w:w="2043" w:type="dxa"/>
          </w:tcPr>
          <w:p w14:paraId="70098849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903662" w:rsidRPr="00111694">
              <w:rPr>
                <w:rFonts w:asciiTheme="minorHAnsi" w:hAnsiTheme="minorHAnsi" w:cs="Arial"/>
                <w:sz w:val="22"/>
                <w:szCs w:val="22"/>
              </w:rPr>
              <w:t>3500</w:t>
            </w:r>
          </w:p>
        </w:tc>
        <w:tc>
          <w:tcPr>
            <w:tcW w:w="2190" w:type="dxa"/>
          </w:tcPr>
          <w:p w14:paraId="38BE5474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2000</w:t>
            </w:r>
          </w:p>
        </w:tc>
        <w:tc>
          <w:tcPr>
            <w:tcW w:w="2439" w:type="dxa"/>
          </w:tcPr>
          <w:p w14:paraId="78BAAA66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903662" w:rsidRPr="00111694"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</w:tr>
      <w:tr w:rsidR="005D79FB" w:rsidRPr="00111694" w14:paraId="095C3A04" w14:textId="77777777" w:rsidTr="0070725C">
        <w:tc>
          <w:tcPr>
            <w:tcW w:w="3182" w:type="dxa"/>
          </w:tcPr>
          <w:p w14:paraId="143F7797" w14:textId="77777777" w:rsidR="005D79FB" w:rsidRPr="00111694" w:rsidRDefault="005D79FB" w:rsidP="00981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11169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nd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 xml:space="preserve"> Year</w:t>
            </w:r>
          </w:p>
        </w:tc>
        <w:tc>
          <w:tcPr>
            <w:tcW w:w="2043" w:type="dxa"/>
          </w:tcPr>
          <w:p w14:paraId="61DB98D8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903662" w:rsidRPr="00111694">
              <w:rPr>
                <w:rFonts w:asciiTheme="minorHAnsi" w:hAnsiTheme="minorHAnsi" w:cs="Arial"/>
                <w:sz w:val="22"/>
                <w:szCs w:val="22"/>
              </w:rPr>
              <w:t>4500</w:t>
            </w:r>
          </w:p>
        </w:tc>
        <w:tc>
          <w:tcPr>
            <w:tcW w:w="2190" w:type="dxa"/>
          </w:tcPr>
          <w:p w14:paraId="40839120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2000</w:t>
            </w:r>
          </w:p>
        </w:tc>
        <w:tc>
          <w:tcPr>
            <w:tcW w:w="2439" w:type="dxa"/>
          </w:tcPr>
          <w:p w14:paraId="12635FBB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903662" w:rsidRPr="00111694"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</w:tr>
      <w:tr w:rsidR="005D79FB" w:rsidRPr="00111694" w14:paraId="6FB2A134" w14:textId="77777777" w:rsidTr="0070725C">
        <w:tc>
          <w:tcPr>
            <w:tcW w:w="3182" w:type="dxa"/>
          </w:tcPr>
          <w:p w14:paraId="322A5DF5" w14:textId="77777777" w:rsidR="005D79FB" w:rsidRPr="00111694" w:rsidRDefault="005D79FB" w:rsidP="00981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11169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rd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 xml:space="preserve"> Year and Up</w:t>
            </w:r>
          </w:p>
        </w:tc>
        <w:tc>
          <w:tcPr>
            <w:tcW w:w="2043" w:type="dxa"/>
          </w:tcPr>
          <w:p w14:paraId="1E6343D1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$5500</w:t>
            </w:r>
          </w:p>
        </w:tc>
        <w:tc>
          <w:tcPr>
            <w:tcW w:w="2190" w:type="dxa"/>
          </w:tcPr>
          <w:p w14:paraId="612D6B29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2000</w:t>
            </w:r>
          </w:p>
        </w:tc>
        <w:tc>
          <w:tcPr>
            <w:tcW w:w="2439" w:type="dxa"/>
          </w:tcPr>
          <w:p w14:paraId="2674F39D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</w:tr>
      <w:tr w:rsidR="005D79FB" w:rsidRPr="00111694" w14:paraId="4B08ECE9" w14:textId="77777777" w:rsidTr="0070725C">
        <w:tc>
          <w:tcPr>
            <w:tcW w:w="3182" w:type="dxa"/>
          </w:tcPr>
          <w:p w14:paraId="32DF398F" w14:textId="77777777" w:rsidR="005D79FB" w:rsidRPr="00111694" w:rsidRDefault="005D79FB" w:rsidP="009815E8">
            <w:pPr>
              <w:pStyle w:val="Heading1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111694">
              <w:rPr>
                <w:rFonts w:asciiTheme="minorHAnsi" w:hAnsiTheme="minorHAnsi"/>
                <w:sz w:val="22"/>
                <w:szCs w:val="22"/>
              </w:rPr>
              <w:t>Independent Undergraduates</w:t>
            </w:r>
          </w:p>
        </w:tc>
        <w:tc>
          <w:tcPr>
            <w:tcW w:w="2043" w:type="dxa"/>
          </w:tcPr>
          <w:p w14:paraId="38AFEB8E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90" w:type="dxa"/>
          </w:tcPr>
          <w:p w14:paraId="4FEC80CD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F1606A0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D79FB" w:rsidRPr="00111694" w14:paraId="06C6B9F7" w14:textId="77777777" w:rsidTr="0070725C">
        <w:tc>
          <w:tcPr>
            <w:tcW w:w="3182" w:type="dxa"/>
          </w:tcPr>
          <w:p w14:paraId="307576BF" w14:textId="77777777" w:rsidR="005D79FB" w:rsidRPr="00111694" w:rsidRDefault="005D79FB" w:rsidP="00981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11169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st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 xml:space="preserve"> Year</w:t>
            </w:r>
          </w:p>
        </w:tc>
        <w:tc>
          <w:tcPr>
            <w:tcW w:w="2043" w:type="dxa"/>
          </w:tcPr>
          <w:p w14:paraId="25593788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903662" w:rsidRPr="00111694">
              <w:rPr>
                <w:rFonts w:asciiTheme="minorHAnsi" w:hAnsiTheme="minorHAnsi" w:cs="Arial"/>
                <w:sz w:val="22"/>
                <w:szCs w:val="22"/>
              </w:rPr>
              <w:t>3500</w:t>
            </w:r>
          </w:p>
        </w:tc>
        <w:tc>
          <w:tcPr>
            <w:tcW w:w="2190" w:type="dxa"/>
          </w:tcPr>
          <w:p w14:paraId="6AB43472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>000</w:t>
            </w:r>
          </w:p>
        </w:tc>
        <w:tc>
          <w:tcPr>
            <w:tcW w:w="2439" w:type="dxa"/>
          </w:tcPr>
          <w:p w14:paraId="1E4CE3AA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903662" w:rsidRPr="00111694"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</w:tr>
      <w:tr w:rsidR="005D79FB" w:rsidRPr="00111694" w14:paraId="64839B29" w14:textId="77777777" w:rsidTr="0070725C">
        <w:tc>
          <w:tcPr>
            <w:tcW w:w="3182" w:type="dxa"/>
          </w:tcPr>
          <w:p w14:paraId="10D8FDF8" w14:textId="77777777" w:rsidR="005D79FB" w:rsidRPr="00111694" w:rsidRDefault="005D79FB" w:rsidP="00981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11169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nd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 xml:space="preserve"> Year</w:t>
            </w:r>
          </w:p>
        </w:tc>
        <w:tc>
          <w:tcPr>
            <w:tcW w:w="2043" w:type="dxa"/>
          </w:tcPr>
          <w:p w14:paraId="6F93C046" w14:textId="77777777" w:rsidR="005D79FB" w:rsidRPr="00111694" w:rsidRDefault="00903662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$4</w:t>
            </w:r>
            <w:r w:rsidR="005D79FB" w:rsidRPr="00111694"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  <w:tc>
          <w:tcPr>
            <w:tcW w:w="2190" w:type="dxa"/>
          </w:tcPr>
          <w:p w14:paraId="12442B94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>000</w:t>
            </w:r>
          </w:p>
        </w:tc>
        <w:tc>
          <w:tcPr>
            <w:tcW w:w="2439" w:type="dxa"/>
          </w:tcPr>
          <w:p w14:paraId="5C4880D7" w14:textId="77777777" w:rsidR="005D79FB" w:rsidRPr="00111694" w:rsidRDefault="00903662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="005D79FB" w:rsidRPr="00111694"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</w:tr>
      <w:tr w:rsidR="005D79FB" w:rsidRPr="00111694" w14:paraId="77F8CF67" w14:textId="77777777" w:rsidTr="0070725C">
        <w:tc>
          <w:tcPr>
            <w:tcW w:w="3182" w:type="dxa"/>
          </w:tcPr>
          <w:p w14:paraId="27E452AE" w14:textId="77777777" w:rsidR="005D79FB" w:rsidRPr="00111694" w:rsidRDefault="005D79FB" w:rsidP="009815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11169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rd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 xml:space="preserve"> Year and Up</w:t>
            </w:r>
          </w:p>
        </w:tc>
        <w:tc>
          <w:tcPr>
            <w:tcW w:w="2043" w:type="dxa"/>
          </w:tcPr>
          <w:p w14:paraId="7D44AE6E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$5500</w:t>
            </w:r>
          </w:p>
        </w:tc>
        <w:tc>
          <w:tcPr>
            <w:tcW w:w="2190" w:type="dxa"/>
          </w:tcPr>
          <w:p w14:paraId="4EE4AE44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>000</w:t>
            </w:r>
          </w:p>
        </w:tc>
        <w:tc>
          <w:tcPr>
            <w:tcW w:w="2439" w:type="dxa"/>
          </w:tcPr>
          <w:p w14:paraId="35FE4DBB" w14:textId="77777777" w:rsidR="005D79FB" w:rsidRPr="00111694" w:rsidRDefault="005D79FB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$1</w:t>
            </w:r>
            <w:r w:rsidR="006D2CDC" w:rsidRPr="00111694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111694"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</w:tr>
      <w:tr w:rsidR="005D79FB" w:rsidRPr="00111694" w14:paraId="327E8D91" w14:textId="77777777" w:rsidTr="0070725C">
        <w:tc>
          <w:tcPr>
            <w:tcW w:w="3182" w:type="dxa"/>
          </w:tcPr>
          <w:p w14:paraId="1F39A5C5" w14:textId="77777777" w:rsidR="005D79FB" w:rsidRPr="00111694" w:rsidRDefault="005D79FB" w:rsidP="009815E8">
            <w:pPr>
              <w:pStyle w:val="Heading1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111694">
              <w:rPr>
                <w:rFonts w:asciiTheme="minorHAnsi" w:hAnsiTheme="minorHAnsi"/>
                <w:sz w:val="22"/>
                <w:szCs w:val="22"/>
              </w:rPr>
              <w:t>Graduate/Professional Students</w:t>
            </w:r>
          </w:p>
        </w:tc>
        <w:tc>
          <w:tcPr>
            <w:tcW w:w="2043" w:type="dxa"/>
          </w:tcPr>
          <w:p w14:paraId="01993A15" w14:textId="77777777" w:rsidR="009D5467" w:rsidRPr="00111694" w:rsidRDefault="009D5467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E55DDFD" w14:textId="77777777" w:rsidR="005D79FB" w:rsidRPr="00111694" w:rsidRDefault="005D79FB" w:rsidP="003017A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3017AB" w:rsidRPr="00111694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2190" w:type="dxa"/>
          </w:tcPr>
          <w:p w14:paraId="6F32331C" w14:textId="77777777" w:rsidR="009D5467" w:rsidRPr="00111694" w:rsidRDefault="009D5467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DFBCD1" w14:textId="77777777" w:rsidR="005D79FB" w:rsidRPr="00111694" w:rsidRDefault="00903662" w:rsidP="003017A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$2</w:t>
            </w:r>
            <w:r w:rsidR="003017AB" w:rsidRPr="00111694">
              <w:rPr>
                <w:rFonts w:asciiTheme="minorHAnsi" w:hAnsiTheme="minorHAnsi" w:cs="Arial"/>
                <w:sz w:val="22"/>
                <w:szCs w:val="22"/>
              </w:rPr>
              <w:t>05</w:t>
            </w:r>
            <w:r w:rsidR="005D79FB" w:rsidRPr="00111694">
              <w:rPr>
                <w:rFonts w:asciiTheme="minorHAnsi" w:hAnsiTheme="minorHAnsi" w:cs="Arial"/>
                <w:sz w:val="22"/>
                <w:szCs w:val="22"/>
              </w:rPr>
              <w:t>00</w:t>
            </w:r>
          </w:p>
        </w:tc>
        <w:tc>
          <w:tcPr>
            <w:tcW w:w="2439" w:type="dxa"/>
          </w:tcPr>
          <w:p w14:paraId="695BA3AC" w14:textId="77777777" w:rsidR="009D5467" w:rsidRPr="00111694" w:rsidRDefault="009D5467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A2E029" w14:textId="77777777" w:rsidR="005D79FB" w:rsidRPr="00111694" w:rsidRDefault="00903662" w:rsidP="00981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1694">
              <w:rPr>
                <w:rFonts w:asciiTheme="minorHAnsi" w:hAnsiTheme="minorHAnsi" w:cs="Arial"/>
                <w:sz w:val="22"/>
                <w:szCs w:val="22"/>
              </w:rPr>
              <w:t>$20</w:t>
            </w:r>
            <w:r w:rsidR="005D79FB" w:rsidRPr="00111694">
              <w:rPr>
                <w:rFonts w:asciiTheme="minorHAnsi" w:hAnsiTheme="minorHAnsi" w:cs="Arial"/>
                <w:sz w:val="22"/>
                <w:szCs w:val="22"/>
              </w:rPr>
              <w:t>500</w:t>
            </w:r>
          </w:p>
        </w:tc>
      </w:tr>
    </w:tbl>
    <w:p w14:paraId="3C09B324" w14:textId="652B431A" w:rsidR="00FB6928" w:rsidRDefault="000F759F" w:rsidP="3EEEA306">
      <w:pPr>
        <w:rPr>
          <w:rFonts w:asciiTheme="minorHAnsi" w:hAnsiTheme="minorHAnsi" w:cs="Arial"/>
          <w:b/>
          <w:bCs/>
          <w:i/>
          <w:iCs/>
          <w:color w:val="000000" w:themeColor="text1"/>
          <w:sz w:val="18"/>
          <w:szCs w:val="18"/>
        </w:rPr>
      </w:pPr>
      <w:r w:rsidRPr="3EEEA306">
        <w:rPr>
          <w:rFonts w:asciiTheme="minorHAnsi" w:hAnsiTheme="minorHAnsi" w:cs="Arial"/>
          <w:i/>
          <w:iCs/>
          <w:color w:val="000000" w:themeColor="text1"/>
          <w:sz w:val="18"/>
          <w:szCs w:val="18"/>
        </w:rPr>
        <w:t xml:space="preserve">For the latest interest rate information, please refer to </w:t>
      </w:r>
      <w:hyperlink r:id="rId12" w:history="1">
        <w:r w:rsidR="008D03BD" w:rsidRPr="0062680C">
          <w:rPr>
            <w:rStyle w:val="Hyperlink"/>
            <w:rFonts w:asciiTheme="minorHAnsi" w:hAnsiTheme="minorHAnsi" w:cs="Arial"/>
            <w:b/>
            <w:bCs/>
            <w:i/>
            <w:iCs/>
            <w:sz w:val="18"/>
            <w:szCs w:val="18"/>
          </w:rPr>
          <w:t>www.studentloans.gov</w:t>
        </w:r>
      </w:hyperlink>
    </w:p>
    <w:p w14:paraId="6571EC9B" w14:textId="34752909" w:rsidR="008D03BD" w:rsidRDefault="008D03BD" w:rsidP="3EEEA306">
      <w:pPr>
        <w:rPr>
          <w:rFonts w:asciiTheme="minorHAnsi" w:hAnsiTheme="minorHAnsi" w:cs="Arial"/>
          <w:b/>
          <w:bCs/>
          <w:i/>
          <w:iCs/>
          <w:color w:val="000000" w:themeColor="text1"/>
          <w:sz w:val="18"/>
          <w:szCs w:val="18"/>
        </w:rPr>
      </w:pPr>
    </w:p>
    <w:p w14:paraId="0DB40A2D" w14:textId="4EF713E6" w:rsidR="008D03BD" w:rsidRDefault="008D03BD" w:rsidP="3EEEA306">
      <w:pPr>
        <w:rPr>
          <w:rFonts w:asciiTheme="minorHAnsi" w:hAnsiTheme="minorHAnsi" w:cs="Arial"/>
          <w:b/>
          <w:bCs/>
          <w:i/>
          <w:iCs/>
          <w:color w:val="000000" w:themeColor="text1"/>
          <w:sz w:val="18"/>
          <w:szCs w:val="18"/>
        </w:rPr>
      </w:pPr>
    </w:p>
    <w:p w14:paraId="5B2A4025" w14:textId="77777777" w:rsidR="005D79FB" w:rsidRPr="00111694" w:rsidRDefault="005D79FB" w:rsidP="005D79FB">
      <w:pPr>
        <w:pStyle w:val="Heading3"/>
        <w:rPr>
          <w:rFonts w:asciiTheme="minorHAnsi" w:hAnsiTheme="minorHAnsi"/>
          <w:sz w:val="22"/>
          <w:szCs w:val="22"/>
        </w:rPr>
      </w:pPr>
      <w:r w:rsidRPr="00111694">
        <w:rPr>
          <w:rFonts w:asciiTheme="minorHAnsi" w:hAnsiTheme="minorHAnsi"/>
          <w:sz w:val="22"/>
          <w:szCs w:val="22"/>
        </w:rPr>
        <w:t xml:space="preserve">Cost of </w:t>
      </w:r>
      <w:r w:rsidR="003F6268" w:rsidRPr="00111694">
        <w:rPr>
          <w:rFonts w:asciiTheme="minorHAnsi" w:hAnsiTheme="minorHAnsi"/>
          <w:sz w:val="22"/>
          <w:szCs w:val="22"/>
        </w:rPr>
        <w:t xml:space="preserve">Attendance </w:t>
      </w:r>
    </w:p>
    <w:p w14:paraId="7EEBC3FF" w14:textId="5786EA2F" w:rsidR="005D79FB" w:rsidRPr="00111694" w:rsidRDefault="005D79FB" w:rsidP="3EEEA306">
      <w:pPr>
        <w:pStyle w:val="NormalWeb"/>
        <w:rPr>
          <w:rFonts w:asciiTheme="minorHAnsi" w:hAnsiTheme="minorHAnsi" w:cs="Arial"/>
          <w:sz w:val="22"/>
          <w:szCs w:val="22"/>
        </w:rPr>
      </w:pPr>
      <w:r w:rsidRPr="1BCEB689">
        <w:rPr>
          <w:rFonts w:asciiTheme="minorHAnsi" w:hAnsiTheme="minorHAnsi" w:cs="Arial"/>
          <w:sz w:val="22"/>
          <w:szCs w:val="22"/>
        </w:rPr>
        <w:t xml:space="preserve">You can borrow up to your Cost of Attendance </w:t>
      </w:r>
      <w:r w:rsidR="003F6268" w:rsidRPr="1BCEB689">
        <w:rPr>
          <w:rFonts w:asciiTheme="minorHAnsi" w:hAnsiTheme="minorHAnsi" w:cs="Arial"/>
          <w:sz w:val="22"/>
          <w:szCs w:val="22"/>
        </w:rPr>
        <w:t xml:space="preserve">(which is the combined total of your </w:t>
      </w:r>
      <w:r w:rsidR="003F6268" w:rsidRPr="1BCEB689">
        <w:rPr>
          <w:rFonts w:asciiTheme="minorHAnsi" w:hAnsiTheme="minorHAnsi" w:cs="Arial"/>
          <w:b/>
          <w:bCs/>
          <w:sz w:val="22"/>
          <w:szCs w:val="22"/>
        </w:rPr>
        <w:t>cost of living</w:t>
      </w:r>
      <w:r w:rsidR="003F6268" w:rsidRPr="1BCEB689">
        <w:rPr>
          <w:rFonts w:asciiTheme="minorHAnsi" w:hAnsiTheme="minorHAnsi" w:cs="Arial"/>
          <w:sz w:val="22"/>
          <w:szCs w:val="22"/>
        </w:rPr>
        <w:t xml:space="preserve"> plus your </w:t>
      </w:r>
      <w:r w:rsidR="00FB6928" w:rsidRPr="1BCEB689">
        <w:rPr>
          <w:rFonts w:asciiTheme="minorHAnsi" w:hAnsiTheme="minorHAnsi" w:cs="Arial"/>
          <w:b/>
          <w:bCs/>
          <w:sz w:val="22"/>
          <w:szCs w:val="22"/>
        </w:rPr>
        <w:t>tuition fee costs</w:t>
      </w:r>
      <w:r w:rsidR="003F6268" w:rsidRPr="1BCEB689">
        <w:rPr>
          <w:rFonts w:asciiTheme="minorHAnsi" w:hAnsiTheme="minorHAnsi" w:cs="Arial"/>
          <w:sz w:val="22"/>
          <w:szCs w:val="22"/>
        </w:rPr>
        <w:t>)</w:t>
      </w:r>
      <w:r w:rsidRPr="1BCEB689">
        <w:rPr>
          <w:rFonts w:asciiTheme="minorHAnsi" w:hAnsiTheme="minorHAnsi" w:cs="Arial"/>
          <w:sz w:val="22"/>
          <w:szCs w:val="22"/>
        </w:rPr>
        <w:t>. Part of this may be a government subsidised Stafford Loan topped up by further loans</w:t>
      </w:r>
      <w:r w:rsidR="00B750A6" w:rsidRPr="1BCEB689">
        <w:rPr>
          <w:rFonts w:asciiTheme="minorHAnsi" w:hAnsiTheme="minorHAnsi" w:cs="Arial"/>
          <w:sz w:val="22"/>
          <w:szCs w:val="22"/>
        </w:rPr>
        <w:t xml:space="preserve"> (</w:t>
      </w:r>
      <w:r w:rsidR="73A61675" w:rsidRPr="1BCEB689">
        <w:rPr>
          <w:rFonts w:asciiTheme="minorHAnsi" w:hAnsiTheme="minorHAnsi" w:cs="Arial"/>
          <w:sz w:val="22"/>
          <w:szCs w:val="22"/>
        </w:rPr>
        <w:t xml:space="preserve">Grad </w:t>
      </w:r>
      <w:r w:rsidR="00B750A6" w:rsidRPr="1BCEB689">
        <w:rPr>
          <w:rFonts w:asciiTheme="minorHAnsi" w:hAnsiTheme="minorHAnsi" w:cs="Arial"/>
          <w:sz w:val="22"/>
          <w:szCs w:val="22"/>
        </w:rPr>
        <w:t>P</w:t>
      </w:r>
      <w:r w:rsidR="5750DEDD" w:rsidRPr="1BCEB689">
        <w:rPr>
          <w:rFonts w:asciiTheme="minorHAnsi" w:hAnsiTheme="minorHAnsi" w:cs="Arial"/>
          <w:sz w:val="22"/>
          <w:szCs w:val="22"/>
        </w:rPr>
        <w:t>lu</w:t>
      </w:r>
      <w:r w:rsidR="057384E4" w:rsidRPr="1BCEB689">
        <w:rPr>
          <w:rFonts w:asciiTheme="minorHAnsi" w:hAnsiTheme="minorHAnsi" w:cs="Arial"/>
          <w:sz w:val="22"/>
          <w:szCs w:val="22"/>
        </w:rPr>
        <w:t>s</w:t>
      </w:r>
      <w:r w:rsidR="00B750A6" w:rsidRPr="1BCEB689">
        <w:rPr>
          <w:rFonts w:asciiTheme="minorHAnsi" w:hAnsiTheme="minorHAnsi" w:cs="Arial"/>
          <w:sz w:val="22"/>
          <w:szCs w:val="22"/>
        </w:rPr>
        <w:t>, Parent</w:t>
      </w:r>
      <w:r w:rsidR="1A29ADC2" w:rsidRPr="1BCEB689">
        <w:rPr>
          <w:rFonts w:asciiTheme="minorHAnsi" w:hAnsiTheme="minorHAnsi" w:cs="Arial"/>
          <w:sz w:val="22"/>
          <w:szCs w:val="22"/>
        </w:rPr>
        <w:t xml:space="preserve"> </w:t>
      </w:r>
      <w:r w:rsidR="00B750A6" w:rsidRPr="1BCEB689">
        <w:rPr>
          <w:rFonts w:asciiTheme="minorHAnsi" w:hAnsiTheme="minorHAnsi" w:cs="Arial"/>
          <w:sz w:val="22"/>
          <w:szCs w:val="22"/>
        </w:rPr>
        <w:t>P</w:t>
      </w:r>
      <w:r w:rsidR="003F5F8E" w:rsidRPr="1BCEB689">
        <w:rPr>
          <w:rFonts w:asciiTheme="minorHAnsi" w:hAnsiTheme="minorHAnsi" w:cs="Arial"/>
          <w:sz w:val="22"/>
          <w:szCs w:val="22"/>
        </w:rPr>
        <w:t>lus</w:t>
      </w:r>
      <w:r w:rsidR="00B750A6" w:rsidRPr="1BCEB689">
        <w:rPr>
          <w:rFonts w:asciiTheme="minorHAnsi" w:hAnsiTheme="minorHAnsi" w:cs="Arial"/>
          <w:sz w:val="22"/>
          <w:szCs w:val="22"/>
        </w:rPr>
        <w:t xml:space="preserve">, </w:t>
      </w:r>
      <w:r w:rsidR="166019EE" w:rsidRPr="1BCEB689">
        <w:rPr>
          <w:rFonts w:asciiTheme="minorHAnsi" w:hAnsiTheme="minorHAnsi" w:cs="Arial"/>
          <w:sz w:val="22"/>
          <w:szCs w:val="22"/>
        </w:rPr>
        <w:t>P</w:t>
      </w:r>
      <w:r w:rsidR="00B750A6" w:rsidRPr="1BCEB689">
        <w:rPr>
          <w:rFonts w:asciiTheme="minorHAnsi" w:hAnsiTheme="minorHAnsi" w:cs="Arial"/>
          <w:sz w:val="22"/>
          <w:szCs w:val="22"/>
        </w:rPr>
        <w:t>rivate)</w:t>
      </w:r>
      <w:r w:rsidRPr="1BCEB689">
        <w:rPr>
          <w:rFonts w:asciiTheme="minorHAnsi" w:hAnsiTheme="minorHAnsi" w:cs="Arial"/>
          <w:sz w:val="22"/>
          <w:szCs w:val="22"/>
        </w:rPr>
        <w:t xml:space="preserve">. </w:t>
      </w:r>
    </w:p>
    <w:p w14:paraId="35CB17CE" w14:textId="79BD5D1A" w:rsidR="00B52633" w:rsidRPr="00111694" w:rsidRDefault="005D79FB" w:rsidP="1BCEB689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bookmarkStart w:id="0" w:name="generated-subheading4"/>
      <w:bookmarkEnd w:id="0"/>
      <w:r w:rsidRPr="1BCEB689">
        <w:rPr>
          <w:rFonts w:asciiTheme="minorHAnsi" w:hAnsiTheme="minorHAnsi" w:cs="Arial"/>
          <w:sz w:val="22"/>
          <w:szCs w:val="22"/>
        </w:rPr>
        <w:t xml:space="preserve">Although being in a new city is fun, and should be enjoyed, remember that your loan(s) are for education. </w:t>
      </w:r>
      <w:r w:rsidR="00B33AAB" w:rsidRPr="1BCEB689">
        <w:rPr>
          <w:rFonts w:asciiTheme="minorHAnsi" w:hAnsiTheme="minorHAnsi" w:cs="Arial"/>
          <w:sz w:val="22"/>
          <w:szCs w:val="22"/>
        </w:rPr>
        <w:t xml:space="preserve"> </w:t>
      </w:r>
      <w:r w:rsidRPr="1BCEB689">
        <w:rPr>
          <w:rFonts w:asciiTheme="minorHAnsi" w:hAnsiTheme="minorHAnsi" w:cs="Arial"/>
          <w:sz w:val="22"/>
          <w:szCs w:val="22"/>
        </w:rPr>
        <w:t xml:space="preserve">Each student is different, but your costs should still be broadly in line with our published Cost of </w:t>
      </w:r>
      <w:r w:rsidR="00CE3923" w:rsidRPr="1BCEB689">
        <w:rPr>
          <w:rFonts w:asciiTheme="minorHAnsi" w:hAnsiTheme="minorHAnsi" w:cs="Arial"/>
          <w:sz w:val="22"/>
          <w:szCs w:val="22"/>
        </w:rPr>
        <w:t>Living</w:t>
      </w:r>
      <w:r w:rsidRPr="1BCEB689">
        <w:rPr>
          <w:rFonts w:asciiTheme="minorHAnsi" w:hAnsiTheme="minorHAnsi" w:cs="Arial"/>
          <w:sz w:val="22"/>
          <w:szCs w:val="22"/>
        </w:rPr>
        <w:t xml:space="preserve"> (see below). If your Cost of Attendance needs to be higher, then you must prove and justify this to </w:t>
      </w:r>
      <w:r w:rsidR="006E4ECB" w:rsidRPr="1BCEB689">
        <w:rPr>
          <w:rFonts w:asciiTheme="minorHAnsi" w:hAnsiTheme="minorHAnsi" w:cs="Arial"/>
          <w:sz w:val="22"/>
          <w:szCs w:val="22"/>
        </w:rPr>
        <w:t>the US Loans Adviser</w:t>
      </w:r>
      <w:r w:rsidR="00B33AAB" w:rsidRPr="1BCEB689">
        <w:rPr>
          <w:rFonts w:asciiTheme="minorHAnsi" w:hAnsiTheme="minorHAnsi" w:cs="Arial"/>
          <w:sz w:val="22"/>
          <w:szCs w:val="22"/>
        </w:rPr>
        <w:t>.</w:t>
      </w:r>
      <w:r w:rsidR="00B52633" w:rsidRPr="1BCEB689">
        <w:rPr>
          <w:rFonts w:asciiTheme="minorHAnsi" w:hAnsiTheme="minorHAnsi" w:cs="Arial"/>
          <w:sz w:val="22"/>
          <w:szCs w:val="22"/>
        </w:rPr>
        <w:t xml:space="preserve"> </w:t>
      </w:r>
      <w:r w:rsidR="2D7506CA" w:rsidRPr="1BCEB689">
        <w:rPr>
          <w:rFonts w:asciiTheme="minorHAnsi" w:hAnsiTheme="minorHAnsi" w:cs="Arial"/>
          <w:sz w:val="22"/>
          <w:szCs w:val="22"/>
        </w:rPr>
        <w:t>Y</w:t>
      </w:r>
      <w:r w:rsidRPr="1BCEB689">
        <w:rPr>
          <w:rFonts w:asciiTheme="minorHAnsi" w:hAnsiTheme="minorHAnsi" w:cs="Arial"/>
          <w:sz w:val="22"/>
          <w:szCs w:val="22"/>
        </w:rPr>
        <w:t xml:space="preserve">our money </w:t>
      </w:r>
      <w:r w:rsidR="00392CEB">
        <w:rPr>
          <w:rFonts w:asciiTheme="minorHAnsi" w:hAnsiTheme="minorHAnsi" w:cs="Arial"/>
          <w:sz w:val="22"/>
          <w:szCs w:val="22"/>
        </w:rPr>
        <w:t>must</w:t>
      </w:r>
      <w:r w:rsidRPr="1BCEB689">
        <w:rPr>
          <w:rFonts w:asciiTheme="minorHAnsi" w:hAnsiTheme="minorHAnsi" w:cs="Arial"/>
          <w:sz w:val="22"/>
          <w:szCs w:val="22"/>
        </w:rPr>
        <w:t xml:space="preserve"> last the whole educational year. </w:t>
      </w:r>
      <w:r w:rsidR="00631462" w:rsidRPr="1BCEB689">
        <w:rPr>
          <w:rFonts w:asciiTheme="minorHAnsi" w:hAnsiTheme="minorHAnsi" w:cs="Arial"/>
          <w:sz w:val="22"/>
          <w:szCs w:val="22"/>
        </w:rPr>
        <w:t>Costs of attendance cannot be altered due to fluctuating exchange rates.</w:t>
      </w:r>
    </w:p>
    <w:p w14:paraId="4B5D1194" w14:textId="77777777" w:rsidR="005A4555" w:rsidRPr="00111694" w:rsidRDefault="005A4555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4C782924" w14:textId="765E946F" w:rsidR="005A4555" w:rsidRDefault="005A4555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111694">
        <w:rPr>
          <w:rFonts w:asciiTheme="minorHAnsi" w:hAnsiTheme="minorHAnsi" w:cs="Arial"/>
          <w:sz w:val="22"/>
          <w:szCs w:val="22"/>
        </w:rPr>
        <w:t xml:space="preserve">Information concerning tuition fees for your programme of study can be found on your official offer letter and are outlined here: </w:t>
      </w:r>
      <w:hyperlink r:id="rId13" w:history="1">
        <w:r w:rsidRPr="00111694">
          <w:rPr>
            <w:rStyle w:val="Hyperlink"/>
            <w:rFonts w:asciiTheme="minorHAnsi" w:hAnsiTheme="minorHAnsi" w:cs="Arial"/>
            <w:sz w:val="22"/>
            <w:szCs w:val="22"/>
          </w:rPr>
          <w:t>http://www.bangor.ac.uk/ar/main/fees/index.php</w:t>
        </w:r>
      </w:hyperlink>
      <w:r w:rsidRPr="00111694">
        <w:rPr>
          <w:rFonts w:asciiTheme="minorHAnsi" w:hAnsiTheme="minorHAnsi" w:cs="Arial"/>
          <w:sz w:val="22"/>
          <w:szCs w:val="22"/>
        </w:rPr>
        <w:t xml:space="preserve">  </w:t>
      </w:r>
    </w:p>
    <w:p w14:paraId="77A14E4F" w14:textId="351B8267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7B668341" w14:textId="26C64CA6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207755D9" w14:textId="1D251BA2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33A1D95D" w14:textId="631C9183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5A07286D" w14:textId="5FA6D5A2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1E5E813E" w14:textId="2A90F5C0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16309281" w14:textId="60712AD7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70855AFC" w14:textId="4700706E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76E6019A" w14:textId="70D86262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38434A1B" w14:textId="087EB512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7FF51D0C" w14:textId="5605B7C7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346843C1" w14:textId="1EFC23A0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49EF62CD" w14:textId="7FAE3CB8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5A5C4E69" w14:textId="2238FDD2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7F6E1570" w14:textId="3D3953B6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5B4D47DB" w14:textId="3ECA7520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77FC1AEC" w14:textId="1DA1C8D2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62A1E825" w14:textId="7853B4B2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3E480806" w14:textId="6C68B5A7" w:rsidR="004C2CC1" w:rsidRDefault="004C2CC1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38CF23C5" w14:textId="17294E6F" w:rsidR="00347EF4" w:rsidRDefault="00347EF4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26B2C713" w14:textId="77777777" w:rsidR="008D03BD" w:rsidRPr="00111694" w:rsidRDefault="008D03BD" w:rsidP="00347EF4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TableGridLight"/>
        <w:tblW w:w="9855" w:type="dxa"/>
        <w:tblLayout w:type="fixed"/>
        <w:tblLook w:val="0020" w:firstRow="1" w:lastRow="0" w:firstColumn="0" w:lastColumn="0" w:noHBand="0" w:noVBand="0"/>
      </w:tblPr>
      <w:tblGrid>
        <w:gridCol w:w="840"/>
        <w:gridCol w:w="4842"/>
        <w:gridCol w:w="1826"/>
        <w:gridCol w:w="2347"/>
      </w:tblGrid>
      <w:tr w:rsidR="005D79FB" w:rsidRPr="00111694" w14:paraId="185A31BA" w14:textId="77777777" w:rsidTr="004C2CC1">
        <w:tc>
          <w:tcPr>
            <w:tcW w:w="840" w:type="dxa"/>
          </w:tcPr>
          <w:p w14:paraId="7D9C004C" w14:textId="77777777" w:rsidR="005D79FB" w:rsidRPr="00111694" w:rsidRDefault="005D79FB" w:rsidP="009815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</w:pPr>
          </w:p>
          <w:p w14:paraId="64C46B9A" w14:textId="77777777" w:rsidR="005D79FB" w:rsidRPr="00111694" w:rsidRDefault="005D79FB" w:rsidP="009815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> </w:t>
            </w:r>
          </w:p>
          <w:p w14:paraId="5E60E6DC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42" w:type="dxa"/>
          </w:tcPr>
          <w:p w14:paraId="05B4ADA5" w14:textId="3921FB3F" w:rsidR="004403E1" w:rsidRPr="004C2CC1" w:rsidRDefault="005D79FB" w:rsidP="004403E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3EEEA306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Cost of </w:t>
            </w:r>
            <w:r w:rsidR="003F6268" w:rsidRPr="3EEEA306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Living</w:t>
            </w:r>
            <w:r w:rsidR="00AC7792" w:rsidRPr="3EEEA306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for </w:t>
            </w:r>
            <w:r w:rsidR="00942C16" w:rsidRPr="3EEEA306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US</w:t>
            </w:r>
            <w:r w:rsidR="00AC7792" w:rsidRPr="3EEEA306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Stud</w:t>
            </w:r>
            <w:r w:rsidR="00F044F0" w:rsidRPr="3EEEA306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ents </w:t>
            </w:r>
            <w:r w:rsidR="00DD6966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202</w:t>
            </w:r>
            <w:r w:rsidR="002806BD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3-24</w:t>
            </w:r>
          </w:p>
        </w:tc>
        <w:tc>
          <w:tcPr>
            <w:tcW w:w="1826" w:type="dxa"/>
          </w:tcPr>
          <w:p w14:paraId="78052234" w14:textId="024616CD" w:rsidR="005D79FB" w:rsidRPr="004C2CC1" w:rsidRDefault="005D79FB" w:rsidP="00440FF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16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UG </w:t>
            </w:r>
            <w:r w:rsidR="00297FA3" w:rsidRPr="001116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  <w:t>(</w:t>
            </w:r>
            <w:r w:rsidR="00440FFA" w:rsidRPr="001116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  <w:t>40</w:t>
            </w:r>
            <w:r w:rsidRPr="001116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weeks)</w:t>
            </w:r>
          </w:p>
          <w:p w14:paraId="77FE1A9A" w14:textId="75FBC01B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</w:pPr>
            <w:r w:rsidRPr="001116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  <w:t>(£</w:t>
            </w:r>
            <w:r w:rsidR="004C2CC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2347" w:type="dxa"/>
          </w:tcPr>
          <w:p w14:paraId="042B5BF9" w14:textId="5E495380" w:rsidR="005D79FB" w:rsidRPr="00111694" w:rsidRDefault="005D79FB" w:rsidP="009815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</w:pPr>
            <w:r w:rsidRPr="001116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  <w:t>PG</w:t>
            </w:r>
            <w:r w:rsidR="004C2CC1"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297FA3" w:rsidRPr="001116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  <w:t>(52</w:t>
            </w:r>
            <w:r w:rsidRPr="001116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weeks)</w:t>
            </w:r>
          </w:p>
          <w:p w14:paraId="0E742272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eastAsia="en-GB"/>
              </w:rPr>
            </w:pPr>
            <w:r w:rsidRPr="001116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GB"/>
              </w:rPr>
              <w:t>(£)</w:t>
            </w:r>
          </w:p>
        </w:tc>
      </w:tr>
      <w:tr w:rsidR="005D79FB" w:rsidRPr="00111694" w14:paraId="347D718F" w14:textId="77777777" w:rsidTr="004C2CC1">
        <w:tc>
          <w:tcPr>
            <w:tcW w:w="840" w:type="dxa"/>
          </w:tcPr>
          <w:p w14:paraId="57327CE4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(a)</w:t>
            </w:r>
          </w:p>
        </w:tc>
        <w:tc>
          <w:tcPr>
            <w:tcW w:w="4842" w:type="dxa"/>
          </w:tcPr>
          <w:p w14:paraId="46EE2C3E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Accommodation (</w:t>
            </w:r>
            <w:r w:rsidRPr="00111694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eastAsia="en-GB"/>
              </w:rPr>
              <w:t>average</w:t>
            </w: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 xml:space="preserve"> cost for self-catering halls)</w:t>
            </w:r>
          </w:p>
        </w:tc>
        <w:tc>
          <w:tcPr>
            <w:tcW w:w="1826" w:type="dxa"/>
          </w:tcPr>
          <w:p w14:paraId="3A241234" w14:textId="13662ED8" w:rsidR="005D79FB" w:rsidRPr="00111694" w:rsidRDefault="00DD6966" w:rsidP="3EEEA3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5</w:t>
            </w:r>
            <w:r w:rsidR="002806BD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840</w:t>
            </w:r>
          </w:p>
        </w:tc>
        <w:tc>
          <w:tcPr>
            <w:tcW w:w="2347" w:type="dxa"/>
          </w:tcPr>
          <w:p w14:paraId="14DB19E7" w14:textId="676B52F0" w:rsidR="005D79FB" w:rsidRPr="00111694" w:rsidRDefault="189A0EB8" w:rsidP="3EEEA3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3EEEA306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7</w:t>
            </w:r>
            <w:r w:rsidR="002806BD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592</w:t>
            </w:r>
          </w:p>
        </w:tc>
      </w:tr>
      <w:tr w:rsidR="005D79FB" w:rsidRPr="00111694" w14:paraId="6DD0DD91" w14:textId="77777777" w:rsidTr="004C2CC1">
        <w:tc>
          <w:tcPr>
            <w:tcW w:w="840" w:type="dxa"/>
          </w:tcPr>
          <w:p w14:paraId="4B7A4F18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(b)</w:t>
            </w:r>
          </w:p>
        </w:tc>
        <w:tc>
          <w:tcPr>
            <w:tcW w:w="4842" w:type="dxa"/>
          </w:tcPr>
          <w:p w14:paraId="2E3924E3" w14:textId="77777777" w:rsidR="005D79FB" w:rsidRPr="00111694" w:rsidRDefault="00297FA3" w:rsidP="006C7A9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Food</w:t>
            </w:r>
          </w:p>
        </w:tc>
        <w:tc>
          <w:tcPr>
            <w:tcW w:w="1826" w:type="dxa"/>
          </w:tcPr>
          <w:p w14:paraId="6148D1C9" w14:textId="09CED20E" w:rsidR="00B60DFC" w:rsidRPr="00111694" w:rsidRDefault="002806BD" w:rsidP="001912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2040</w:t>
            </w:r>
          </w:p>
        </w:tc>
        <w:tc>
          <w:tcPr>
            <w:tcW w:w="2347" w:type="dxa"/>
          </w:tcPr>
          <w:p w14:paraId="41A4E423" w14:textId="359A047D" w:rsidR="005D79FB" w:rsidRPr="00111694" w:rsidRDefault="002806BD" w:rsidP="001912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2653</w:t>
            </w:r>
          </w:p>
        </w:tc>
      </w:tr>
      <w:tr w:rsidR="005D79FB" w:rsidRPr="00111694" w14:paraId="446F63CC" w14:textId="77777777" w:rsidTr="004C2CC1">
        <w:tc>
          <w:tcPr>
            <w:tcW w:w="840" w:type="dxa"/>
          </w:tcPr>
          <w:p w14:paraId="00D0EF21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(c)</w:t>
            </w:r>
          </w:p>
        </w:tc>
        <w:tc>
          <w:tcPr>
            <w:tcW w:w="4842" w:type="dxa"/>
          </w:tcPr>
          <w:p w14:paraId="6A726462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Books and stationery</w:t>
            </w:r>
          </w:p>
        </w:tc>
        <w:tc>
          <w:tcPr>
            <w:tcW w:w="1826" w:type="dxa"/>
          </w:tcPr>
          <w:p w14:paraId="4181E190" w14:textId="49EFD225" w:rsidR="005D79FB" w:rsidRPr="00111694" w:rsidRDefault="002806BD" w:rsidP="001912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497</w:t>
            </w:r>
          </w:p>
        </w:tc>
        <w:tc>
          <w:tcPr>
            <w:tcW w:w="2347" w:type="dxa"/>
          </w:tcPr>
          <w:p w14:paraId="2EB72E13" w14:textId="5425B1C2" w:rsidR="005D79FB" w:rsidRPr="00111694" w:rsidRDefault="009179DA" w:rsidP="001912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  <w:r w:rsidR="002806B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63</w:t>
            </w:r>
          </w:p>
        </w:tc>
      </w:tr>
      <w:tr w:rsidR="005D79FB" w:rsidRPr="00111694" w14:paraId="505A1C3F" w14:textId="77777777" w:rsidTr="004C2CC1">
        <w:tc>
          <w:tcPr>
            <w:tcW w:w="840" w:type="dxa"/>
          </w:tcPr>
          <w:p w14:paraId="00545B3C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(d)</w:t>
            </w:r>
          </w:p>
        </w:tc>
        <w:tc>
          <w:tcPr>
            <w:tcW w:w="4842" w:type="dxa"/>
          </w:tcPr>
          <w:p w14:paraId="3F3CC345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Clothes (including provision of warm clothing and footwear)</w:t>
            </w:r>
          </w:p>
        </w:tc>
        <w:tc>
          <w:tcPr>
            <w:tcW w:w="1826" w:type="dxa"/>
          </w:tcPr>
          <w:p w14:paraId="191C09EF" w14:textId="180E2F0E" w:rsidR="005D79FB" w:rsidRPr="00111694" w:rsidRDefault="009179DA" w:rsidP="001912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2806B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2347" w:type="dxa"/>
          </w:tcPr>
          <w:p w14:paraId="63B5CBD8" w14:textId="4386545D" w:rsidR="00B60DFC" w:rsidRPr="00111694" w:rsidRDefault="009179DA" w:rsidP="001912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2806B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74</w:t>
            </w:r>
          </w:p>
        </w:tc>
      </w:tr>
      <w:tr w:rsidR="005D79FB" w:rsidRPr="00111694" w14:paraId="65E4C604" w14:textId="77777777" w:rsidTr="004C2CC1">
        <w:tc>
          <w:tcPr>
            <w:tcW w:w="840" w:type="dxa"/>
          </w:tcPr>
          <w:p w14:paraId="2BFA839D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(e)</w:t>
            </w:r>
          </w:p>
        </w:tc>
        <w:tc>
          <w:tcPr>
            <w:tcW w:w="4842" w:type="dxa"/>
          </w:tcPr>
          <w:p w14:paraId="4497F900" w14:textId="77777777" w:rsidR="005D79FB" w:rsidRPr="00111694" w:rsidRDefault="00297FA3" w:rsidP="001912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Toiletries and laundry</w:t>
            </w:r>
          </w:p>
        </w:tc>
        <w:tc>
          <w:tcPr>
            <w:tcW w:w="1826" w:type="dxa"/>
          </w:tcPr>
          <w:p w14:paraId="15383C1C" w14:textId="2022D8F0" w:rsidR="005D79FB" w:rsidRPr="00111694" w:rsidRDefault="002806BD" w:rsidP="001912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508</w:t>
            </w:r>
          </w:p>
        </w:tc>
        <w:tc>
          <w:tcPr>
            <w:tcW w:w="2347" w:type="dxa"/>
          </w:tcPr>
          <w:p w14:paraId="2966C01C" w14:textId="63088979" w:rsidR="005D79FB" w:rsidRPr="00111694" w:rsidRDefault="009179DA" w:rsidP="001912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  <w:r w:rsidR="002806B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63</w:t>
            </w:r>
          </w:p>
        </w:tc>
      </w:tr>
      <w:tr w:rsidR="005D79FB" w:rsidRPr="00111694" w14:paraId="05141F45" w14:textId="77777777" w:rsidTr="004C2CC1">
        <w:tc>
          <w:tcPr>
            <w:tcW w:w="840" w:type="dxa"/>
          </w:tcPr>
          <w:p w14:paraId="148D6B1C" w14:textId="77777777" w:rsidR="005D79FB" w:rsidRPr="00111694" w:rsidRDefault="005D79F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(f)</w:t>
            </w:r>
          </w:p>
        </w:tc>
        <w:tc>
          <w:tcPr>
            <w:tcW w:w="4842" w:type="dxa"/>
          </w:tcPr>
          <w:p w14:paraId="1052DAFB" w14:textId="67DA9A50" w:rsidR="005D79FB" w:rsidRPr="00111694" w:rsidRDefault="005D79FB" w:rsidP="006F37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 xml:space="preserve">Other general living expenses, </w:t>
            </w:r>
            <w:r w:rsidR="002806BD"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e.g.,</w:t>
            </w: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 xml:space="preserve"> photocopying, phone calls, </w:t>
            </w:r>
            <w:r w:rsidR="00440FFA"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 xml:space="preserve">internet, </w:t>
            </w: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 xml:space="preserve">consumables, </w:t>
            </w:r>
            <w:r w:rsidR="007F355E"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insurance e</w:t>
            </w: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tc</w:t>
            </w:r>
          </w:p>
        </w:tc>
        <w:tc>
          <w:tcPr>
            <w:tcW w:w="1826" w:type="dxa"/>
          </w:tcPr>
          <w:p w14:paraId="55A77F70" w14:textId="044AAA44" w:rsidR="005D79FB" w:rsidRPr="00111694" w:rsidRDefault="009179DA" w:rsidP="001912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  <w:r w:rsidR="002806B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836</w:t>
            </w:r>
          </w:p>
        </w:tc>
        <w:tc>
          <w:tcPr>
            <w:tcW w:w="2347" w:type="dxa"/>
          </w:tcPr>
          <w:p w14:paraId="15D0C4A1" w14:textId="082DBE7C" w:rsidR="00DD6966" w:rsidRPr="00DD6966" w:rsidRDefault="009179DA" w:rsidP="00DD696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>2</w:t>
            </w:r>
            <w:r w:rsidR="00DD6966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>3</w:t>
            </w:r>
            <w:r w:rsidR="002806BD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>72</w:t>
            </w:r>
          </w:p>
        </w:tc>
      </w:tr>
      <w:tr w:rsidR="005D79FB" w:rsidRPr="00111694" w14:paraId="5BDE0093" w14:textId="77777777" w:rsidTr="004C2CC1">
        <w:tc>
          <w:tcPr>
            <w:tcW w:w="840" w:type="dxa"/>
          </w:tcPr>
          <w:p w14:paraId="7000582E" w14:textId="77777777" w:rsidR="005D79FB" w:rsidRPr="00111694" w:rsidRDefault="00AC7792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(g)</w:t>
            </w:r>
          </w:p>
        </w:tc>
        <w:tc>
          <w:tcPr>
            <w:tcW w:w="4842" w:type="dxa"/>
          </w:tcPr>
          <w:p w14:paraId="5843CCCD" w14:textId="77777777" w:rsidR="005D79FB" w:rsidRPr="00111694" w:rsidRDefault="007F355E" w:rsidP="00AC779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Travel home once per annum</w:t>
            </w:r>
          </w:p>
        </w:tc>
        <w:tc>
          <w:tcPr>
            <w:tcW w:w="1826" w:type="dxa"/>
          </w:tcPr>
          <w:p w14:paraId="3C14CA7C" w14:textId="7971E81B" w:rsidR="005D79FB" w:rsidRPr="00111694" w:rsidRDefault="009179DA" w:rsidP="001912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>7</w:t>
            </w:r>
            <w:r w:rsidR="002806BD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2347" w:type="dxa"/>
          </w:tcPr>
          <w:p w14:paraId="04A8D41D" w14:textId="24CD87F0" w:rsidR="005D79FB" w:rsidRPr="00111694" w:rsidRDefault="009179DA" w:rsidP="001912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>7</w:t>
            </w:r>
            <w:r w:rsidR="002806BD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>70</w:t>
            </w:r>
          </w:p>
        </w:tc>
      </w:tr>
      <w:tr w:rsidR="0070725C" w:rsidRPr="00111694" w14:paraId="6D862801" w14:textId="77777777" w:rsidTr="00FC71DE">
        <w:tc>
          <w:tcPr>
            <w:tcW w:w="840" w:type="dxa"/>
          </w:tcPr>
          <w:p w14:paraId="6EC8EF66" w14:textId="77777777" w:rsidR="0070725C" w:rsidRPr="00111694" w:rsidRDefault="0070725C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(h)</w:t>
            </w:r>
          </w:p>
        </w:tc>
        <w:tc>
          <w:tcPr>
            <w:tcW w:w="4842" w:type="dxa"/>
          </w:tcPr>
          <w:p w14:paraId="2D9520C1" w14:textId="77777777" w:rsidR="0070725C" w:rsidRPr="00111694" w:rsidRDefault="0070725C" w:rsidP="00AC779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Tier 4 General Student Visa application</w:t>
            </w:r>
          </w:p>
        </w:tc>
        <w:tc>
          <w:tcPr>
            <w:tcW w:w="4173" w:type="dxa"/>
            <w:gridSpan w:val="2"/>
          </w:tcPr>
          <w:p w14:paraId="4D1659F7" w14:textId="1F028D15" w:rsidR="0070725C" w:rsidRPr="00111694" w:rsidRDefault="0070725C" w:rsidP="006D2BE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>363</w:t>
            </w:r>
          </w:p>
        </w:tc>
      </w:tr>
      <w:tr w:rsidR="00E6304C" w:rsidRPr="00111694" w14:paraId="41119A18" w14:textId="77777777" w:rsidTr="0070725C">
        <w:tc>
          <w:tcPr>
            <w:tcW w:w="840" w:type="dxa"/>
          </w:tcPr>
          <w:p w14:paraId="4EB98EF2" w14:textId="77777777" w:rsidR="00E6304C" w:rsidRPr="00111694" w:rsidRDefault="00D371DB" w:rsidP="009815E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(i</w:t>
            </w:r>
            <w:r w:rsidR="00E6304C"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842" w:type="dxa"/>
          </w:tcPr>
          <w:p w14:paraId="3FADB900" w14:textId="77777777" w:rsidR="00E6304C" w:rsidRPr="00111694" w:rsidRDefault="00E6304C" w:rsidP="00AC779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Health and Immigration Charge</w:t>
            </w:r>
          </w:p>
          <w:p w14:paraId="069EFBBC" w14:textId="77777777" w:rsidR="004D2C94" w:rsidRPr="00111694" w:rsidRDefault="004D2C94" w:rsidP="00DC7B5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(This is a one-off payment upon the application of your student visa</w:t>
            </w:r>
            <w:r w:rsidR="00DC7B5D"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 xml:space="preserve"> the cost of which varies depending on the length of your course</w:t>
            </w: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173" w:type="dxa"/>
            <w:gridSpan w:val="2"/>
          </w:tcPr>
          <w:p w14:paraId="1C2C20C2" w14:textId="0A086CE0" w:rsidR="004D2C94" w:rsidRPr="00111694" w:rsidRDefault="447722BC" w:rsidP="3EEEA30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3EEEA306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470</w:t>
            </w:r>
            <w:r w:rsidR="28B8369E" w:rsidRPr="3EEEA306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p</w:t>
            </w:r>
            <w:r w:rsidR="00E813D2" w:rsidRPr="3EEEA306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er annum</w:t>
            </w:r>
            <w:r w:rsidR="000F0289" w:rsidRPr="3EEEA306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(approx.)</w:t>
            </w:r>
          </w:p>
          <w:p w14:paraId="63F17490" w14:textId="77777777" w:rsidR="00E6304C" w:rsidRPr="00111694" w:rsidRDefault="004D2C94" w:rsidP="006D2BE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>S</w:t>
            </w:r>
            <w:r w:rsidR="00E6304C" w:rsidRPr="00111694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 xml:space="preserve">ee </w:t>
            </w:r>
            <w:r w:rsidR="006D2BE9" w:rsidRPr="00111694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 xml:space="preserve">here for information </w:t>
            </w:r>
            <w:hyperlink r:id="rId14" w:history="1">
              <w:r w:rsidR="00EF1B51" w:rsidRPr="00111694">
                <w:rPr>
                  <w:rStyle w:val="Hyperlink"/>
                  <w:rFonts w:asciiTheme="minorHAnsi" w:hAnsiTheme="minorHAnsi" w:cs="Arial"/>
                  <w:sz w:val="18"/>
                  <w:szCs w:val="18"/>
                  <w:lang w:eastAsia="en-GB"/>
                </w:rPr>
                <w:t>https://www.gov.uk/healthcare-immigration-application/how-much-pay</w:t>
              </w:r>
            </w:hyperlink>
            <w:r w:rsidR="00EF1B51"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6D2BE9" w:rsidRPr="00111694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70725C" w:rsidRPr="00111694" w14:paraId="39CE9B45" w14:textId="77777777" w:rsidTr="0070725C">
        <w:tc>
          <w:tcPr>
            <w:tcW w:w="840" w:type="dxa"/>
          </w:tcPr>
          <w:p w14:paraId="5B516621" w14:textId="77777777" w:rsidR="0070725C" w:rsidRPr="00111694" w:rsidRDefault="0070725C" w:rsidP="009815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(j</w:t>
            </w:r>
            <w:r w:rsidRPr="00111694"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842" w:type="dxa"/>
          </w:tcPr>
          <w:p w14:paraId="5CC7F0E7" w14:textId="77777777" w:rsidR="0070725C" w:rsidRPr="00111694" w:rsidRDefault="0070725C" w:rsidP="009815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en-GB"/>
              </w:rPr>
              <w:t>Contingency</w:t>
            </w:r>
          </w:p>
        </w:tc>
        <w:tc>
          <w:tcPr>
            <w:tcW w:w="4173" w:type="dxa"/>
            <w:gridSpan w:val="2"/>
          </w:tcPr>
          <w:p w14:paraId="5E909C51" w14:textId="77777777" w:rsidR="0070725C" w:rsidRPr="00111694" w:rsidRDefault="0070725C" w:rsidP="001912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259</w:t>
            </w:r>
          </w:p>
          <w:p w14:paraId="10737EA8" w14:textId="0DFDD993" w:rsidR="0070725C" w:rsidRPr="00111694" w:rsidRDefault="0070725C" w:rsidP="001912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259</w:t>
            </w:r>
          </w:p>
        </w:tc>
      </w:tr>
      <w:tr w:rsidR="0070725C" w:rsidRPr="00111694" w14:paraId="666A1F21" w14:textId="77777777" w:rsidTr="0070725C">
        <w:tc>
          <w:tcPr>
            <w:tcW w:w="840" w:type="dxa"/>
          </w:tcPr>
          <w:p w14:paraId="46276E4C" w14:textId="77777777" w:rsidR="0070725C" w:rsidRPr="00111694" w:rsidRDefault="0070725C" w:rsidP="009815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42" w:type="dxa"/>
          </w:tcPr>
          <w:p w14:paraId="71BF3758" w14:textId="77777777" w:rsidR="0070725C" w:rsidRPr="00111694" w:rsidRDefault="0070725C" w:rsidP="009815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1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TOTAL (not including Health and Immigration charge)</w:t>
            </w:r>
          </w:p>
        </w:tc>
        <w:tc>
          <w:tcPr>
            <w:tcW w:w="4173" w:type="dxa"/>
            <w:gridSpan w:val="2"/>
          </w:tcPr>
          <w:p w14:paraId="136AF188" w14:textId="6E0CA7B1" w:rsidR="0070725C" w:rsidRPr="00111694" w:rsidRDefault="0070725C" w:rsidP="3EEEA30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3EEEA306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2687</w:t>
            </w:r>
            <w:r w:rsidR="00534E5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                                        15909</w:t>
            </w:r>
          </w:p>
          <w:p w14:paraId="560A5BA1" w14:textId="3373703E" w:rsidR="0070725C" w:rsidRPr="00111694" w:rsidRDefault="0070725C" w:rsidP="3EEEA30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DDE977D" w14:textId="77777777" w:rsidR="008D03BD" w:rsidRDefault="008D03BD" w:rsidP="3EEEA306">
      <w:pPr>
        <w:pStyle w:val="Heading3"/>
        <w:rPr>
          <w:rFonts w:asciiTheme="minorHAnsi" w:hAnsiTheme="minorHAnsi"/>
          <w:sz w:val="22"/>
          <w:szCs w:val="22"/>
          <w:u w:val="single"/>
        </w:rPr>
      </w:pPr>
    </w:p>
    <w:p w14:paraId="1039278F" w14:textId="1F66683C" w:rsidR="00D253DC" w:rsidRDefault="00D253DC" w:rsidP="3EEEA306">
      <w:pPr>
        <w:pStyle w:val="Heading3"/>
        <w:rPr>
          <w:rFonts w:asciiTheme="minorHAnsi" w:hAnsiTheme="minorHAnsi"/>
          <w:sz w:val="22"/>
          <w:szCs w:val="22"/>
          <w:u w:val="single"/>
        </w:rPr>
      </w:pPr>
      <w:r w:rsidRPr="3EEEA306">
        <w:rPr>
          <w:rFonts w:asciiTheme="minorHAnsi" w:hAnsiTheme="minorHAnsi"/>
          <w:sz w:val="22"/>
          <w:szCs w:val="22"/>
          <w:u w:val="single"/>
        </w:rPr>
        <w:t>Further Loans</w:t>
      </w:r>
    </w:p>
    <w:p w14:paraId="46FF7A44" w14:textId="77777777" w:rsidR="004C2CC1" w:rsidRPr="004C2CC1" w:rsidRDefault="004C2CC1" w:rsidP="004C2CC1"/>
    <w:p w14:paraId="07759CA9" w14:textId="12D671E7" w:rsidR="3EEEA306" w:rsidRPr="004C2CC1" w:rsidRDefault="00B52633" w:rsidP="3EEEA306">
      <w:pPr>
        <w:pStyle w:val="NormalWeb"/>
        <w:rPr>
          <w:rFonts w:asciiTheme="minorHAnsi" w:hAnsiTheme="minorHAnsi" w:cs="Arial"/>
          <w:sz w:val="22"/>
          <w:szCs w:val="22"/>
        </w:rPr>
      </w:pPr>
      <w:r w:rsidRPr="1BCEB689">
        <w:rPr>
          <w:rFonts w:asciiTheme="minorHAnsi" w:hAnsiTheme="minorHAnsi" w:cs="Arial"/>
          <w:sz w:val="22"/>
          <w:szCs w:val="22"/>
        </w:rPr>
        <w:t xml:space="preserve">Further loans can be taken out to top-up the rest of the cost of attendance. Private loan applications start with the </w:t>
      </w:r>
      <w:r w:rsidR="2BDF4DB8" w:rsidRPr="1BCEB689">
        <w:rPr>
          <w:rFonts w:asciiTheme="minorHAnsi" w:hAnsiTheme="minorHAnsi" w:cs="Arial"/>
          <w:sz w:val="22"/>
          <w:szCs w:val="22"/>
        </w:rPr>
        <w:t>lender,</w:t>
      </w:r>
      <w:r w:rsidRPr="1BCEB68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1BCEB689">
        <w:rPr>
          <w:rFonts w:asciiTheme="minorHAnsi" w:hAnsiTheme="minorHAnsi" w:cs="Arial"/>
          <w:sz w:val="22"/>
          <w:szCs w:val="22"/>
        </w:rPr>
        <w:t>but</w:t>
      </w:r>
      <w:r w:rsidRPr="1BCEB68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1BCEB689">
        <w:rPr>
          <w:rFonts w:asciiTheme="minorHAnsi" w:hAnsiTheme="minorHAnsi" w:cs="Arial"/>
          <w:sz w:val="22"/>
          <w:szCs w:val="22"/>
        </w:rPr>
        <w:t xml:space="preserve">you must get all the papers from your lender and send to </w:t>
      </w:r>
      <w:r w:rsidR="00C62D02" w:rsidRPr="1BCEB689">
        <w:rPr>
          <w:rFonts w:asciiTheme="minorHAnsi" w:hAnsiTheme="minorHAnsi" w:cs="Arial"/>
          <w:sz w:val="22"/>
          <w:szCs w:val="22"/>
        </w:rPr>
        <w:t xml:space="preserve">Bangor </w:t>
      </w:r>
      <w:r w:rsidRPr="1BCEB689">
        <w:rPr>
          <w:rFonts w:asciiTheme="minorHAnsi" w:hAnsiTheme="minorHAnsi" w:cs="Arial"/>
          <w:sz w:val="22"/>
          <w:szCs w:val="22"/>
        </w:rPr>
        <w:t xml:space="preserve">University for the attention of </w:t>
      </w:r>
      <w:r w:rsidR="006E4ECB" w:rsidRPr="1BCEB689">
        <w:rPr>
          <w:rFonts w:asciiTheme="minorHAnsi" w:hAnsiTheme="minorHAnsi" w:cs="Arial"/>
          <w:sz w:val="22"/>
          <w:szCs w:val="22"/>
        </w:rPr>
        <w:t>the US Loans Adviser</w:t>
      </w:r>
      <w:r w:rsidRPr="1BCEB689">
        <w:rPr>
          <w:rFonts w:asciiTheme="minorHAnsi" w:hAnsiTheme="minorHAnsi" w:cs="Arial"/>
          <w:sz w:val="22"/>
          <w:szCs w:val="22"/>
        </w:rPr>
        <w:t>. Please remember that some lenders forget that foreign schools cannot certify electronically.</w:t>
      </w:r>
    </w:p>
    <w:p w14:paraId="0D843540" w14:textId="63426795" w:rsidR="00B52633" w:rsidRPr="00111694" w:rsidRDefault="00B52633" w:rsidP="1BCEB689">
      <w:pPr>
        <w:rPr>
          <w:rFonts w:asciiTheme="minorHAnsi" w:hAnsiTheme="minorHAnsi" w:cs="Arial"/>
          <w:color w:val="000000"/>
          <w:sz w:val="22"/>
          <w:szCs w:val="22"/>
        </w:rPr>
      </w:pPr>
      <w:r w:rsidRPr="1BCEB68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Graduate PLUS loan for Professional Students.</w:t>
      </w:r>
      <w:r w:rsidRPr="1BCEB689">
        <w:rPr>
          <w:rFonts w:asciiTheme="minorHAnsi" w:hAnsiTheme="minorHAnsi" w:cs="Arial"/>
          <w:color w:val="000000" w:themeColor="text1"/>
          <w:sz w:val="22"/>
          <w:szCs w:val="22"/>
        </w:rPr>
        <w:t xml:space="preserve"> F</w:t>
      </w:r>
      <w:r w:rsidR="00B750A6" w:rsidRPr="1BCEB689">
        <w:rPr>
          <w:rFonts w:asciiTheme="minorHAnsi" w:hAnsiTheme="minorHAnsi" w:cs="Arial"/>
          <w:color w:val="000000" w:themeColor="text1"/>
          <w:sz w:val="22"/>
          <w:szCs w:val="22"/>
        </w:rPr>
        <w:t xml:space="preserve">or interest rate information please see </w:t>
      </w:r>
      <w:hyperlink r:id="rId15">
        <w:r w:rsidR="00B750A6" w:rsidRPr="1BCEB689">
          <w:rPr>
            <w:rStyle w:val="Hyperlink"/>
            <w:rFonts w:asciiTheme="minorHAnsi" w:hAnsiTheme="minorHAnsi" w:cs="Arial"/>
            <w:sz w:val="22"/>
            <w:szCs w:val="22"/>
          </w:rPr>
          <w:t>www.studentloans.gov</w:t>
        </w:r>
      </w:hyperlink>
      <w:r w:rsidR="00B750A6" w:rsidRPr="1BCEB68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1BCEB689">
        <w:rPr>
          <w:rFonts w:asciiTheme="minorHAnsi" w:hAnsiTheme="minorHAnsi" w:cs="Arial"/>
          <w:color w:val="000000" w:themeColor="text1"/>
          <w:sz w:val="22"/>
          <w:szCs w:val="22"/>
        </w:rPr>
        <w:t xml:space="preserve">.  Students will be subject to a stringent credit check. Title IV rules apply as do audit requirements. Students must have exhausted all their Stafford options both subsidised and unsubsidised. This loan will be in multiple disbursements.  </w:t>
      </w:r>
      <w:r w:rsidRPr="1BCEB689"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  <w:t xml:space="preserve">This loan was originally available only to parents of </w:t>
      </w:r>
      <w:r w:rsidR="004A590C" w:rsidRPr="1BCEB689"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  <w:t>u</w:t>
      </w:r>
      <w:r w:rsidRPr="1BCEB689"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  <w:t>ndergrad</w:t>
      </w:r>
      <w:r w:rsidR="004A590C" w:rsidRPr="1BCEB689"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  <w:t>uate</w:t>
      </w:r>
      <w:r w:rsidRPr="1BCEB689"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  <w:t xml:space="preserve"> students.</w:t>
      </w:r>
    </w:p>
    <w:p w14:paraId="23FB88BB" w14:textId="128C0D00" w:rsidR="00B52633" w:rsidRPr="00111694" w:rsidRDefault="00B52633" w:rsidP="1BCEB689">
      <w:pPr>
        <w:pStyle w:val="Heading3"/>
        <w:rPr>
          <w:rFonts w:asciiTheme="minorHAnsi" w:hAnsiTheme="minorHAnsi"/>
          <w:sz w:val="22"/>
          <w:szCs w:val="22"/>
        </w:rPr>
      </w:pPr>
      <w:r w:rsidRPr="1BCEB689">
        <w:rPr>
          <w:rFonts w:asciiTheme="minorHAnsi" w:hAnsiTheme="minorHAnsi"/>
          <w:sz w:val="22"/>
          <w:szCs w:val="22"/>
        </w:rPr>
        <w:t>Parent</w:t>
      </w:r>
      <w:r w:rsidR="08DB9C8B" w:rsidRPr="1BCEB689">
        <w:rPr>
          <w:rFonts w:asciiTheme="minorHAnsi" w:hAnsiTheme="minorHAnsi"/>
          <w:sz w:val="22"/>
          <w:szCs w:val="22"/>
        </w:rPr>
        <w:t xml:space="preserve"> </w:t>
      </w:r>
      <w:r w:rsidRPr="1BCEB689">
        <w:rPr>
          <w:rFonts w:asciiTheme="minorHAnsi" w:hAnsiTheme="minorHAnsi"/>
          <w:sz w:val="22"/>
          <w:szCs w:val="22"/>
        </w:rPr>
        <w:t>Plus Loan</w:t>
      </w:r>
    </w:p>
    <w:p w14:paraId="03B9356B" w14:textId="624B7134" w:rsidR="00B52633" w:rsidRPr="00111694" w:rsidRDefault="00B52633" w:rsidP="1BCEB689">
      <w:pPr>
        <w:pStyle w:val="NormalWeb"/>
        <w:rPr>
          <w:rFonts w:asciiTheme="minorHAnsi" w:hAnsiTheme="minorHAnsi" w:cs="Arial"/>
          <w:sz w:val="22"/>
          <w:szCs w:val="22"/>
        </w:rPr>
      </w:pPr>
      <w:r w:rsidRPr="1BCEB689">
        <w:rPr>
          <w:rFonts w:asciiTheme="minorHAnsi" w:hAnsiTheme="minorHAnsi" w:cs="Arial"/>
          <w:sz w:val="22"/>
          <w:szCs w:val="22"/>
        </w:rPr>
        <w:t xml:space="preserve">Parents of </w:t>
      </w:r>
      <w:r w:rsidRPr="1BCEB689">
        <w:rPr>
          <w:rFonts w:asciiTheme="minorHAnsi" w:hAnsiTheme="minorHAnsi" w:cs="Arial"/>
          <w:b/>
          <w:bCs/>
          <w:sz w:val="22"/>
          <w:szCs w:val="22"/>
        </w:rPr>
        <w:t>undergraduate</w:t>
      </w:r>
      <w:r w:rsidRPr="1BCEB689">
        <w:rPr>
          <w:rFonts w:asciiTheme="minorHAnsi" w:hAnsiTheme="minorHAnsi" w:cs="Arial"/>
          <w:sz w:val="22"/>
          <w:szCs w:val="22"/>
        </w:rPr>
        <w:t>s can take out a Parent</w:t>
      </w:r>
      <w:r w:rsidR="6D2A21EE" w:rsidRPr="1BCEB689">
        <w:rPr>
          <w:rFonts w:asciiTheme="minorHAnsi" w:hAnsiTheme="minorHAnsi" w:cs="Arial"/>
          <w:sz w:val="22"/>
          <w:szCs w:val="22"/>
        </w:rPr>
        <w:t xml:space="preserve"> </w:t>
      </w:r>
      <w:r w:rsidRPr="1BCEB689">
        <w:rPr>
          <w:rFonts w:asciiTheme="minorHAnsi" w:hAnsiTheme="minorHAnsi" w:cs="Arial"/>
          <w:sz w:val="22"/>
          <w:szCs w:val="22"/>
        </w:rPr>
        <w:t xml:space="preserve">Plus Loan under their name. </w:t>
      </w:r>
      <w:r w:rsidR="007819E2" w:rsidRPr="1BCEB689">
        <w:rPr>
          <w:rFonts w:asciiTheme="minorHAnsi" w:hAnsiTheme="minorHAnsi" w:cs="Arial"/>
          <w:sz w:val="22"/>
          <w:szCs w:val="22"/>
        </w:rPr>
        <w:t>Again, they</w:t>
      </w:r>
      <w:r w:rsidRPr="1BCEB689">
        <w:rPr>
          <w:rFonts w:asciiTheme="minorHAnsi" w:hAnsiTheme="minorHAnsi" w:cs="Arial"/>
          <w:sz w:val="22"/>
          <w:szCs w:val="22"/>
        </w:rPr>
        <w:t xml:space="preserve"> cannot borrow more than the rest of the cost of attendance (subject to credit rating)</w:t>
      </w:r>
      <w:r w:rsidR="007819E2" w:rsidRPr="1BCEB689">
        <w:rPr>
          <w:rFonts w:asciiTheme="minorHAnsi" w:hAnsiTheme="minorHAnsi" w:cs="Arial"/>
          <w:sz w:val="22"/>
          <w:szCs w:val="22"/>
        </w:rPr>
        <w:t xml:space="preserve">. </w:t>
      </w:r>
      <w:r w:rsidRPr="1BCEB689">
        <w:rPr>
          <w:rFonts w:asciiTheme="minorHAnsi" w:hAnsiTheme="minorHAnsi" w:cs="Arial"/>
          <w:sz w:val="22"/>
          <w:szCs w:val="22"/>
        </w:rPr>
        <w:t xml:space="preserve">These loans start repayment while you are still in school. </w:t>
      </w:r>
    </w:p>
    <w:p w14:paraId="73430849" w14:textId="77777777" w:rsidR="00B52633" w:rsidRPr="00111694" w:rsidRDefault="00B52633" w:rsidP="000F688D">
      <w:pPr>
        <w:pStyle w:val="Heading3"/>
        <w:rPr>
          <w:rFonts w:asciiTheme="minorHAnsi" w:hAnsiTheme="minorHAnsi"/>
          <w:sz w:val="22"/>
          <w:szCs w:val="22"/>
        </w:rPr>
      </w:pPr>
      <w:r w:rsidRPr="00111694">
        <w:rPr>
          <w:rFonts w:asciiTheme="minorHAnsi" w:hAnsiTheme="minorHAnsi"/>
          <w:sz w:val="22"/>
          <w:szCs w:val="22"/>
        </w:rPr>
        <w:t>Private loans</w:t>
      </w:r>
    </w:p>
    <w:p w14:paraId="6DA1BE1F" w14:textId="76C95F17" w:rsidR="00B52633" w:rsidRPr="00111694" w:rsidRDefault="003E47E2" w:rsidP="1BCEB689">
      <w:pPr>
        <w:pStyle w:val="NormalWeb"/>
        <w:rPr>
          <w:rFonts w:asciiTheme="minorHAnsi" w:hAnsiTheme="minorHAnsi" w:cs="Arial"/>
          <w:sz w:val="22"/>
          <w:szCs w:val="22"/>
        </w:rPr>
      </w:pPr>
      <w:r w:rsidRPr="1BCEB689">
        <w:rPr>
          <w:rFonts w:asciiTheme="minorHAnsi" w:hAnsiTheme="minorHAnsi" w:cs="Arial"/>
          <w:b/>
          <w:bCs/>
          <w:sz w:val="22"/>
          <w:szCs w:val="22"/>
        </w:rPr>
        <w:t>Students</w:t>
      </w:r>
      <w:r w:rsidR="00B52633" w:rsidRPr="1BCEB689">
        <w:rPr>
          <w:rFonts w:asciiTheme="minorHAnsi" w:hAnsiTheme="minorHAnsi" w:cs="Arial"/>
          <w:sz w:val="22"/>
          <w:szCs w:val="22"/>
        </w:rPr>
        <w:t xml:space="preserve"> can take out a private loan. You can borrow up to the rest of the cost of attendance but no more, (subject to credit rating). Borrowers may be required to have a co-signer. Interest is charged but repayment is deferred while in </w:t>
      </w:r>
      <w:r w:rsidR="004A590C" w:rsidRPr="1BCEB689">
        <w:rPr>
          <w:rFonts w:asciiTheme="minorHAnsi" w:hAnsiTheme="minorHAnsi" w:cs="Arial"/>
          <w:sz w:val="22"/>
          <w:szCs w:val="22"/>
        </w:rPr>
        <w:t>S</w:t>
      </w:r>
      <w:r w:rsidR="00B52633" w:rsidRPr="1BCEB689">
        <w:rPr>
          <w:rFonts w:asciiTheme="minorHAnsi" w:hAnsiTheme="minorHAnsi" w:cs="Arial"/>
          <w:sz w:val="22"/>
          <w:szCs w:val="22"/>
        </w:rPr>
        <w:t>chool.</w:t>
      </w:r>
    </w:p>
    <w:p w14:paraId="710790C9" w14:textId="37C371E2" w:rsidR="0024681F" w:rsidRPr="00111694" w:rsidRDefault="00B52633" w:rsidP="00C8311D">
      <w:pPr>
        <w:pStyle w:val="NormalWeb"/>
        <w:rPr>
          <w:rFonts w:asciiTheme="minorHAnsi" w:hAnsiTheme="minorHAnsi" w:cs="Arial"/>
          <w:sz w:val="22"/>
          <w:szCs w:val="22"/>
        </w:rPr>
      </w:pPr>
      <w:bookmarkStart w:id="1" w:name="generated-subheading8"/>
      <w:bookmarkEnd w:id="1"/>
      <w:r w:rsidRPr="00111694">
        <w:rPr>
          <w:rFonts w:asciiTheme="minorHAnsi" w:hAnsiTheme="minorHAnsi" w:cs="Arial"/>
          <w:sz w:val="22"/>
          <w:szCs w:val="22"/>
        </w:rPr>
        <w:lastRenderedPageBreak/>
        <w:t>Once you have decided what is best for you in terms of loans available</w:t>
      </w:r>
      <w:r w:rsidR="00B4098B" w:rsidRPr="00111694">
        <w:rPr>
          <w:rFonts w:asciiTheme="minorHAnsi" w:hAnsiTheme="minorHAnsi" w:cs="Arial"/>
          <w:sz w:val="22"/>
          <w:szCs w:val="22"/>
        </w:rPr>
        <w:t xml:space="preserve">, </w:t>
      </w:r>
      <w:r w:rsidRPr="00111694">
        <w:rPr>
          <w:rFonts w:asciiTheme="minorHAnsi" w:hAnsiTheme="minorHAnsi" w:cs="Arial"/>
          <w:sz w:val="22"/>
          <w:szCs w:val="22"/>
        </w:rPr>
        <w:t xml:space="preserve">please follow the </w:t>
      </w:r>
      <w:r w:rsidR="00392CEB" w:rsidRPr="00111694">
        <w:rPr>
          <w:rFonts w:asciiTheme="minorHAnsi" w:hAnsiTheme="minorHAnsi" w:cs="Arial"/>
          <w:sz w:val="22"/>
          <w:szCs w:val="22"/>
        </w:rPr>
        <w:t>step-by-step</w:t>
      </w:r>
      <w:r w:rsidRPr="00111694">
        <w:rPr>
          <w:rFonts w:asciiTheme="minorHAnsi" w:hAnsiTheme="minorHAnsi" w:cs="Arial"/>
          <w:sz w:val="22"/>
          <w:szCs w:val="22"/>
        </w:rPr>
        <w:t xml:space="preserve"> process </w:t>
      </w:r>
      <w:r w:rsidR="00B4098B" w:rsidRPr="00111694">
        <w:rPr>
          <w:rFonts w:asciiTheme="minorHAnsi" w:hAnsiTheme="minorHAnsi" w:cs="Arial"/>
          <w:sz w:val="22"/>
          <w:szCs w:val="22"/>
        </w:rPr>
        <w:t>detailed in the following document</w:t>
      </w:r>
      <w:r w:rsidRPr="00111694">
        <w:rPr>
          <w:rFonts w:asciiTheme="minorHAnsi" w:hAnsiTheme="minorHAnsi" w:cs="Arial"/>
          <w:sz w:val="22"/>
          <w:szCs w:val="22"/>
        </w:rPr>
        <w:t xml:space="preserve"> to complete your application</w:t>
      </w:r>
      <w:bookmarkStart w:id="2" w:name="generated-subheading7"/>
      <w:bookmarkEnd w:id="2"/>
      <w:r w:rsidR="00B4098B" w:rsidRPr="00111694">
        <w:rPr>
          <w:rFonts w:asciiTheme="minorHAnsi" w:hAnsiTheme="minorHAnsi" w:cs="Arial"/>
          <w:sz w:val="22"/>
          <w:szCs w:val="22"/>
        </w:rPr>
        <w:t>:</w:t>
      </w:r>
    </w:p>
    <w:p w14:paraId="4A4A7404" w14:textId="77777777" w:rsidR="0001735F" w:rsidRPr="006F07B0" w:rsidRDefault="00000000" w:rsidP="00587B4B">
      <w:pPr>
        <w:pStyle w:val="NormalWeb"/>
        <w:rPr>
          <w:color w:val="FF0000"/>
        </w:rPr>
      </w:pPr>
      <w:hyperlink r:id="rId16" w:history="1">
        <w:r w:rsidR="00E76BEF" w:rsidRPr="00FA21F1">
          <w:rPr>
            <w:rStyle w:val="Hyperlink"/>
          </w:rPr>
          <w:t>https://www.bangor.ac.uk/ar/main/admissions/documents/ApplyingforUSFederalLoans_v6May_2016.pdf</w:t>
        </w:r>
      </w:hyperlink>
    </w:p>
    <w:p w14:paraId="2551A72E" w14:textId="77777777" w:rsidR="00587B4B" w:rsidRPr="00C22E0F" w:rsidRDefault="00587B4B" w:rsidP="00587B4B">
      <w:pPr>
        <w:pStyle w:val="NormalWeb"/>
        <w:rPr>
          <w:rFonts w:asciiTheme="minorHAnsi" w:hAnsiTheme="minorHAnsi" w:cs="Arial"/>
          <w:sz w:val="22"/>
          <w:szCs w:val="22"/>
        </w:rPr>
      </w:pPr>
    </w:p>
    <w:sectPr w:rsidR="00587B4B" w:rsidRPr="00C22E0F" w:rsidSect="00B62948">
      <w:footerReference w:type="even" r:id="rId17"/>
      <w:footerReference w:type="default" r:id="rId18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9711" w14:textId="77777777" w:rsidR="00581F60" w:rsidRDefault="00581F60">
      <w:r>
        <w:separator/>
      </w:r>
    </w:p>
  </w:endnote>
  <w:endnote w:type="continuationSeparator" w:id="0">
    <w:p w14:paraId="7FCA930B" w14:textId="77777777" w:rsidR="00581F60" w:rsidRDefault="0058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6F43" w14:textId="0567D5F9" w:rsidR="00AA10BE" w:rsidRDefault="00AA10BE" w:rsidP="00902D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6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0B5082" w14:textId="77777777" w:rsidR="00AA10BE" w:rsidRDefault="00AA10BE" w:rsidP="00AC50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68C6" w14:textId="60D25ED2" w:rsidR="004E252E" w:rsidRDefault="004E252E">
    <w:pPr>
      <w:pStyle w:val="Footer"/>
    </w:pPr>
    <w:r>
      <w:t>May 202</w:t>
    </w:r>
    <w:r w:rsidR="002806BD">
      <w:t>3</w:t>
    </w:r>
  </w:p>
  <w:p w14:paraId="502D2408" w14:textId="77777777" w:rsidR="00AA10BE" w:rsidRPr="004403E1" w:rsidRDefault="00AA10BE" w:rsidP="00D01D7F">
    <w:pPr>
      <w:pStyle w:val="Footer"/>
      <w:ind w:right="360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B84A" w14:textId="77777777" w:rsidR="00581F60" w:rsidRDefault="00581F60">
      <w:r>
        <w:separator/>
      </w:r>
    </w:p>
  </w:footnote>
  <w:footnote w:type="continuationSeparator" w:id="0">
    <w:p w14:paraId="72FAC518" w14:textId="77777777" w:rsidR="00581F60" w:rsidRDefault="0058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1" type="#_x0000_t75" style="width:3in;height:3in" o:bullet="t"/>
    </w:pict>
  </w:numPicBullet>
  <w:numPicBullet w:numPicBulletId="1">
    <w:pict>
      <v:shape id="_x0000_i1252" type="#_x0000_t75" style="width:3in;height:3in" o:bullet="t"/>
    </w:pict>
  </w:numPicBullet>
  <w:numPicBullet w:numPicBulletId="2">
    <w:pict>
      <v:shape id="_x0000_i1253" type="#_x0000_t75" style="width:3in;height:3in" o:bullet="t"/>
    </w:pict>
  </w:numPicBullet>
  <w:abstractNum w:abstractNumId="0" w15:restartNumberingAfterBreak="0">
    <w:nsid w:val="0BA60F00"/>
    <w:multiLevelType w:val="hybridMultilevel"/>
    <w:tmpl w:val="52C012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39E9"/>
    <w:multiLevelType w:val="hybridMultilevel"/>
    <w:tmpl w:val="C276C8E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C689A"/>
    <w:multiLevelType w:val="multilevel"/>
    <w:tmpl w:val="545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E5DD5"/>
    <w:multiLevelType w:val="hybridMultilevel"/>
    <w:tmpl w:val="934668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590B"/>
    <w:multiLevelType w:val="hybridMultilevel"/>
    <w:tmpl w:val="96582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857CD"/>
    <w:multiLevelType w:val="hybridMultilevel"/>
    <w:tmpl w:val="A0AC84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63E37"/>
    <w:multiLevelType w:val="multilevel"/>
    <w:tmpl w:val="0DFA8C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56696"/>
    <w:multiLevelType w:val="multilevel"/>
    <w:tmpl w:val="80DE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A3BD6"/>
    <w:multiLevelType w:val="multilevel"/>
    <w:tmpl w:val="62D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330376">
    <w:abstractNumId w:val="5"/>
  </w:num>
  <w:num w:numId="2" w16cid:durableId="1287930551">
    <w:abstractNumId w:val="3"/>
  </w:num>
  <w:num w:numId="3" w16cid:durableId="999429062">
    <w:abstractNumId w:val="7"/>
  </w:num>
  <w:num w:numId="4" w16cid:durableId="1043601490">
    <w:abstractNumId w:val="0"/>
  </w:num>
  <w:num w:numId="5" w16cid:durableId="1386682162">
    <w:abstractNumId w:val="1"/>
  </w:num>
  <w:num w:numId="6" w16cid:durableId="1443722663">
    <w:abstractNumId w:val="8"/>
  </w:num>
  <w:num w:numId="7" w16cid:durableId="83959347">
    <w:abstractNumId w:val="2"/>
  </w:num>
  <w:num w:numId="8" w16cid:durableId="116414654">
    <w:abstractNumId w:val="6"/>
  </w:num>
  <w:num w:numId="9" w16cid:durableId="1043291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1D"/>
    <w:rsid w:val="00001C0E"/>
    <w:rsid w:val="00016C76"/>
    <w:rsid w:val="0001735F"/>
    <w:rsid w:val="000274FA"/>
    <w:rsid w:val="00035A39"/>
    <w:rsid w:val="00036CF1"/>
    <w:rsid w:val="00041DFC"/>
    <w:rsid w:val="000444BB"/>
    <w:rsid w:val="00045524"/>
    <w:rsid w:val="00055390"/>
    <w:rsid w:val="00057264"/>
    <w:rsid w:val="0006395D"/>
    <w:rsid w:val="0006423E"/>
    <w:rsid w:val="000674CC"/>
    <w:rsid w:val="00080557"/>
    <w:rsid w:val="000944B5"/>
    <w:rsid w:val="000A1014"/>
    <w:rsid w:val="000A3322"/>
    <w:rsid w:val="000B24DD"/>
    <w:rsid w:val="000B31D4"/>
    <w:rsid w:val="000C2EF2"/>
    <w:rsid w:val="000C7FB6"/>
    <w:rsid w:val="000D2570"/>
    <w:rsid w:val="000D3CED"/>
    <w:rsid w:val="000E0360"/>
    <w:rsid w:val="000E0E56"/>
    <w:rsid w:val="000E608B"/>
    <w:rsid w:val="000F0289"/>
    <w:rsid w:val="000F5416"/>
    <w:rsid w:val="000F688D"/>
    <w:rsid w:val="000F759F"/>
    <w:rsid w:val="001013A7"/>
    <w:rsid w:val="0010320F"/>
    <w:rsid w:val="00107CDF"/>
    <w:rsid w:val="00107FBF"/>
    <w:rsid w:val="00110542"/>
    <w:rsid w:val="00111694"/>
    <w:rsid w:val="00111DAB"/>
    <w:rsid w:val="0011714A"/>
    <w:rsid w:val="00130660"/>
    <w:rsid w:val="0013434C"/>
    <w:rsid w:val="00134E84"/>
    <w:rsid w:val="0013770F"/>
    <w:rsid w:val="001606D4"/>
    <w:rsid w:val="001912B4"/>
    <w:rsid w:val="0019285C"/>
    <w:rsid w:val="0019638C"/>
    <w:rsid w:val="001A114A"/>
    <w:rsid w:val="001B70DA"/>
    <w:rsid w:val="001C45E5"/>
    <w:rsid w:val="001D7368"/>
    <w:rsid w:val="001E517A"/>
    <w:rsid w:val="001F2D46"/>
    <w:rsid w:val="001F6929"/>
    <w:rsid w:val="00201002"/>
    <w:rsid w:val="002013F3"/>
    <w:rsid w:val="00203C04"/>
    <w:rsid w:val="00203ED4"/>
    <w:rsid w:val="00207881"/>
    <w:rsid w:val="00215908"/>
    <w:rsid w:val="00216178"/>
    <w:rsid w:val="00217614"/>
    <w:rsid w:val="00223BA6"/>
    <w:rsid w:val="00244774"/>
    <w:rsid w:val="0024681F"/>
    <w:rsid w:val="00257D11"/>
    <w:rsid w:val="00261A99"/>
    <w:rsid w:val="002637D4"/>
    <w:rsid w:val="00270CF1"/>
    <w:rsid w:val="00274145"/>
    <w:rsid w:val="002806BD"/>
    <w:rsid w:val="00297FA3"/>
    <w:rsid w:val="002B300F"/>
    <w:rsid w:val="002C0288"/>
    <w:rsid w:val="002D0CFE"/>
    <w:rsid w:val="002D2943"/>
    <w:rsid w:val="002D462A"/>
    <w:rsid w:val="002E4654"/>
    <w:rsid w:val="0030094E"/>
    <w:rsid w:val="003017AB"/>
    <w:rsid w:val="00307847"/>
    <w:rsid w:val="0031007D"/>
    <w:rsid w:val="003110F7"/>
    <w:rsid w:val="003249C3"/>
    <w:rsid w:val="00333544"/>
    <w:rsid w:val="0033478A"/>
    <w:rsid w:val="00345260"/>
    <w:rsid w:val="00347EF4"/>
    <w:rsid w:val="00352841"/>
    <w:rsid w:val="00364919"/>
    <w:rsid w:val="00371A9C"/>
    <w:rsid w:val="00377C2E"/>
    <w:rsid w:val="00392CEB"/>
    <w:rsid w:val="003D486D"/>
    <w:rsid w:val="003E47E2"/>
    <w:rsid w:val="003F5444"/>
    <w:rsid w:val="003F5F8E"/>
    <w:rsid w:val="003F6268"/>
    <w:rsid w:val="0040539C"/>
    <w:rsid w:val="0041203A"/>
    <w:rsid w:val="00414B5E"/>
    <w:rsid w:val="004178EA"/>
    <w:rsid w:val="00423840"/>
    <w:rsid w:val="00425B4C"/>
    <w:rsid w:val="00436393"/>
    <w:rsid w:val="004368BD"/>
    <w:rsid w:val="004403E1"/>
    <w:rsid w:val="00440FFA"/>
    <w:rsid w:val="00443CB9"/>
    <w:rsid w:val="00443EC9"/>
    <w:rsid w:val="00444C99"/>
    <w:rsid w:val="00445B52"/>
    <w:rsid w:val="00450C34"/>
    <w:rsid w:val="0048023A"/>
    <w:rsid w:val="00485AEE"/>
    <w:rsid w:val="0049180B"/>
    <w:rsid w:val="004A3CAB"/>
    <w:rsid w:val="004A590C"/>
    <w:rsid w:val="004A7140"/>
    <w:rsid w:val="004A7EE4"/>
    <w:rsid w:val="004C2CC1"/>
    <w:rsid w:val="004C75E5"/>
    <w:rsid w:val="004D2C94"/>
    <w:rsid w:val="004D3B05"/>
    <w:rsid w:val="004E252E"/>
    <w:rsid w:val="004F7E5C"/>
    <w:rsid w:val="00502CC6"/>
    <w:rsid w:val="00511CAC"/>
    <w:rsid w:val="00511D46"/>
    <w:rsid w:val="00521A5B"/>
    <w:rsid w:val="00521E2B"/>
    <w:rsid w:val="0052652D"/>
    <w:rsid w:val="00534E5C"/>
    <w:rsid w:val="0054336B"/>
    <w:rsid w:val="00554DFE"/>
    <w:rsid w:val="00562D9F"/>
    <w:rsid w:val="005643F4"/>
    <w:rsid w:val="005659BC"/>
    <w:rsid w:val="00581F60"/>
    <w:rsid w:val="00584A33"/>
    <w:rsid w:val="00587B4B"/>
    <w:rsid w:val="0059097B"/>
    <w:rsid w:val="005940D6"/>
    <w:rsid w:val="00595C36"/>
    <w:rsid w:val="00597A64"/>
    <w:rsid w:val="005A4555"/>
    <w:rsid w:val="005B63D5"/>
    <w:rsid w:val="005C599F"/>
    <w:rsid w:val="005C66B4"/>
    <w:rsid w:val="005D79FB"/>
    <w:rsid w:val="005E2C56"/>
    <w:rsid w:val="005E5D2C"/>
    <w:rsid w:val="005F694A"/>
    <w:rsid w:val="005F7C74"/>
    <w:rsid w:val="00624F9E"/>
    <w:rsid w:val="00631462"/>
    <w:rsid w:val="00632A84"/>
    <w:rsid w:val="00635A85"/>
    <w:rsid w:val="00647254"/>
    <w:rsid w:val="00656247"/>
    <w:rsid w:val="00675337"/>
    <w:rsid w:val="0068302C"/>
    <w:rsid w:val="006840D8"/>
    <w:rsid w:val="006A2D38"/>
    <w:rsid w:val="006B22E3"/>
    <w:rsid w:val="006B7139"/>
    <w:rsid w:val="006B7E99"/>
    <w:rsid w:val="006C0650"/>
    <w:rsid w:val="006C7A93"/>
    <w:rsid w:val="006D23B8"/>
    <w:rsid w:val="006D2BE9"/>
    <w:rsid w:val="006D2CDC"/>
    <w:rsid w:val="006E19EE"/>
    <w:rsid w:val="006E4ECB"/>
    <w:rsid w:val="006F07B0"/>
    <w:rsid w:val="006F37B1"/>
    <w:rsid w:val="006F4A59"/>
    <w:rsid w:val="006F6DA1"/>
    <w:rsid w:val="006F7305"/>
    <w:rsid w:val="007008FC"/>
    <w:rsid w:val="007043B1"/>
    <w:rsid w:val="0070725C"/>
    <w:rsid w:val="00713F86"/>
    <w:rsid w:val="0073147D"/>
    <w:rsid w:val="0073429E"/>
    <w:rsid w:val="00744908"/>
    <w:rsid w:val="00773C39"/>
    <w:rsid w:val="00774A1E"/>
    <w:rsid w:val="007819E2"/>
    <w:rsid w:val="00791EBB"/>
    <w:rsid w:val="007A155C"/>
    <w:rsid w:val="007A4FA7"/>
    <w:rsid w:val="007B543C"/>
    <w:rsid w:val="007B6D1E"/>
    <w:rsid w:val="007C7FD9"/>
    <w:rsid w:val="007E168C"/>
    <w:rsid w:val="007F0738"/>
    <w:rsid w:val="007F1678"/>
    <w:rsid w:val="007F355E"/>
    <w:rsid w:val="007F57E3"/>
    <w:rsid w:val="00806C33"/>
    <w:rsid w:val="00816BD7"/>
    <w:rsid w:val="008348B9"/>
    <w:rsid w:val="00845E72"/>
    <w:rsid w:val="00846C9A"/>
    <w:rsid w:val="00854DB0"/>
    <w:rsid w:val="008636AA"/>
    <w:rsid w:val="008651BB"/>
    <w:rsid w:val="00865389"/>
    <w:rsid w:val="008760DA"/>
    <w:rsid w:val="0088235F"/>
    <w:rsid w:val="008A43D0"/>
    <w:rsid w:val="008B1D4B"/>
    <w:rsid w:val="008C2088"/>
    <w:rsid w:val="008D03BD"/>
    <w:rsid w:val="008D3E39"/>
    <w:rsid w:val="008E3537"/>
    <w:rsid w:val="008E5C19"/>
    <w:rsid w:val="00901EFF"/>
    <w:rsid w:val="00902DCB"/>
    <w:rsid w:val="009031EF"/>
    <w:rsid w:val="00903662"/>
    <w:rsid w:val="00903AB9"/>
    <w:rsid w:val="00912772"/>
    <w:rsid w:val="009179DA"/>
    <w:rsid w:val="009340CD"/>
    <w:rsid w:val="00942C16"/>
    <w:rsid w:val="00946272"/>
    <w:rsid w:val="0095092A"/>
    <w:rsid w:val="00966FFF"/>
    <w:rsid w:val="009815E8"/>
    <w:rsid w:val="00982AF6"/>
    <w:rsid w:val="00997722"/>
    <w:rsid w:val="009A076C"/>
    <w:rsid w:val="009A0BE4"/>
    <w:rsid w:val="009D5467"/>
    <w:rsid w:val="009F5901"/>
    <w:rsid w:val="009F7562"/>
    <w:rsid w:val="009F75C1"/>
    <w:rsid w:val="00A057EC"/>
    <w:rsid w:val="00A12E79"/>
    <w:rsid w:val="00A23B6B"/>
    <w:rsid w:val="00A3238E"/>
    <w:rsid w:val="00A3464B"/>
    <w:rsid w:val="00A60B22"/>
    <w:rsid w:val="00A60B31"/>
    <w:rsid w:val="00A724E4"/>
    <w:rsid w:val="00A742A8"/>
    <w:rsid w:val="00A906CF"/>
    <w:rsid w:val="00AA10BE"/>
    <w:rsid w:val="00AA6557"/>
    <w:rsid w:val="00AB4B23"/>
    <w:rsid w:val="00AC4B45"/>
    <w:rsid w:val="00AC5066"/>
    <w:rsid w:val="00AC770D"/>
    <w:rsid w:val="00AC7792"/>
    <w:rsid w:val="00AD072B"/>
    <w:rsid w:val="00AD125A"/>
    <w:rsid w:val="00AF053D"/>
    <w:rsid w:val="00AF0803"/>
    <w:rsid w:val="00AF6BF4"/>
    <w:rsid w:val="00B12BB3"/>
    <w:rsid w:val="00B14B87"/>
    <w:rsid w:val="00B23E03"/>
    <w:rsid w:val="00B25140"/>
    <w:rsid w:val="00B25CE5"/>
    <w:rsid w:val="00B303E5"/>
    <w:rsid w:val="00B33AAB"/>
    <w:rsid w:val="00B4098B"/>
    <w:rsid w:val="00B42589"/>
    <w:rsid w:val="00B52633"/>
    <w:rsid w:val="00B5663E"/>
    <w:rsid w:val="00B5730B"/>
    <w:rsid w:val="00B60DFC"/>
    <w:rsid w:val="00B61172"/>
    <w:rsid w:val="00B612D4"/>
    <w:rsid w:val="00B62948"/>
    <w:rsid w:val="00B72F89"/>
    <w:rsid w:val="00B750A6"/>
    <w:rsid w:val="00B771AD"/>
    <w:rsid w:val="00BB6228"/>
    <w:rsid w:val="00BC22CE"/>
    <w:rsid w:val="00BC4483"/>
    <w:rsid w:val="00BE06F6"/>
    <w:rsid w:val="00BF3A92"/>
    <w:rsid w:val="00BF6204"/>
    <w:rsid w:val="00BF6E85"/>
    <w:rsid w:val="00C02CDE"/>
    <w:rsid w:val="00C14766"/>
    <w:rsid w:val="00C20A13"/>
    <w:rsid w:val="00C22E0F"/>
    <w:rsid w:val="00C2546E"/>
    <w:rsid w:val="00C337EB"/>
    <w:rsid w:val="00C35336"/>
    <w:rsid w:val="00C3766A"/>
    <w:rsid w:val="00C42EE3"/>
    <w:rsid w:val="00C43437"/>
    <w:rsid w:val="00C5634D"/>
    <w:rsid w:val="00C619C4"/>
    <w:rsid w:val="00C62D02"/>
    <w:rsid w:val="00C7089C"/>
    <w:rsid w:val="00C8175A"/>
    <w:rsid w:val="00C8224E"/>
    <w:rsid w:val="00C8311D"/>
    <w:rsid w:val="00C83262"/>
    <w:rsid w:val="00C86954"/>
    <w:rsid w:val="00C86A7E"/>
    <w:rsid w:val="00C910ED"/>
    <w:rsid w:val="00C97525"/>
    <w:rsid w:val="00CC040D"/>
    <w:rsid w:val="00CC6A7C"/>
    <w:rsid w:val="00CE352F"/>
    <w:rsid w:val="00CE3923"/>
    <w:rsid w:val="00CF284C"/>
    <w:rsid w:val="00CF2BDD"/>
    <w:rsid w:val="00D01D7F"/>
    <w:rsid w:val="00D021AF"/>
    <w:rsid w:val="00D14070"/>
    <w:rsid w:val="00D253DC"/>
    <w:rsid w:val="00D2635A"/>
    <w:rsid w:val="00D371DB"/>
    <w:rsid w:val="00D418A7"/>
    <w:rsid w:val="00D4202B"/>
    <w:rsid w:val="00D43944"/>
    <w:rsid w:val="00D5135A"/>
    <w:rsid w:val="00D52272"/>
    <w:rsid w:val="00D60C3E"/>
    <w:rsid w:val="00D70554"/>
    <w:rsid w:val="00D9171D"/>
    <w:rsid w:val="00D925BA"/>
    <w:rsid w:val="00DA78D5"/>
    <w:rsid w:val="00DC7B5D"/>
    <w:rsid w:val="00DCF45D"/>
    <w:rsid w:val="00DD1BFF"/>
    <w:rsid w:val="00DD2BCF"/>
    <w:rsid w:val="00DD6966"/>
    <w:rsid w:val="00DF1412"/>
    <w:rsid w:val="00E04285"/>
    <w:rsid w:val="00E056FF"/>
    <w:rsid w:val="00E11E13"/>
    <w:rsid w:val="00E16660"/>
    <w:rsid w:val="00E24A8A"/>
    <w:rsid w:val="00E41FA9"/>
    <w:rsid w:val="00E478A7"/>
    <w:rsid w:val="00E52EFE"/>
    <w:rsid w:val="00E6304C"/>
    <w:rsid w:val="00E636AC"/>
    <w:rsid w:val="00E67C1B"/>
    <w:rsid w:val="00E7643D"/>
    <w:rsid w:val="00E76BEF"/>
    <w:rsid w:val="00E813D2"/>
    <w:rsid w:val="00E8665C"/>
    <w:rsid w:val="00EC3F91"/>
    <w:rsid w:val="00EF1B51"/>
    <w:rsid w:val="00EF7A4C"/>
    <w:rsid w:val="00F040CD"/>
    <w:rsid w:val="00F044F0"/>
    <w:rsid w:val="00F04EA5"/>
    <w:rsid w:val="00F06A19"/>
    <w:rsid w:val="00F12E4A"/>
    <w:rsid w:val="00F16C59"/>
    <w:rsid w:val="00F26CE1"/>
    <w:rsid w:val="00F37315"/>
    <w:rsid w:val="00F43CAF"/>
    <w:rsid w:val="00F57A69"/>
    <w:rsid w:val="00F61D26"/>
    <w:rsid w:val="00F6467B"/>
    <w:rsid w:val="00F65279"/>
    <w:rsid w:val="00F7417B"/>
    <w:rsid w:val="00F74944"/>
    <w:rsid w:val="00F848BF"/>
    <w:rsid w:val="00F961B6"/>
    <w:rsid w:val="00F97A2A"/>
    <w:rsid w:val="00FA0F61"/>
    <w:rsid w:val="00FA4EF2"/>
    <w:rsid w:val="00FA5175"/>
    <w:rsid w:val="00FB6928"/>
    <w:rsid w:val="00FC43D2"/>
    <w:rsid w:val="00FC4FEF"/>
    <w:rsid w:val="00FD39F6"/>
    <w:rsid w:val="00FD68AF"/>
    <w:rsid w:val="00FE1002"/>
    <w:rsid w:val="00FF18F0"/>
    <w:rsid w:val="057384E4"/>
    <w:rsid w:val="069BFAC4"/>
    <w:rsid w:val="08DB9C8B"/>
    <w:rsid w:val="166019EE"/>
    <w:rsid w:val="189A0EB8"/>
    <w:rsid w:val="1A29ADC2"/>
    <w:rsid w:val="1BCEB689"/>
    <w:rsid w:val="27BB0A61"/>
    <w:rsid w:val="28B8369E"/>
    <w:rsid w:val="2BA233C6"/>
    <w:rsid w:val="2BDF4DB8"/>
    <w:rsid w:val="2D7506CA"/>
    <w:rsid w:val="300CB043"/>
    <w:rsid w:val="32528840"/>
    <w:rsid w:val="35BFE41F"/>
    <w:rsid w:val="3EEEA306"/>
    <w:rsid w:val="447722BC"/>
    <w:rsid w:val="491D154A"/>
    <w:rsid w:val="5750DEDD"/>
    <w:rsid w:val="60628D14"/>
    <w:rsid w:val="607D152E"/>
    <w:rsid w:val="6D2A21EE"/>
    <w:rsid w:val="6EDDEE69"/>
    <w:rsid w:val="73A61675"/>
    <w:rsid w:val="772DE467"/>
    <w:rsid w:val="7BC1AE90"/>
    <w:rsid w:val="7CB08635"/>
    <w:rsid w:val="7EE1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53630"/>
  <w15:docId w15:val="{D89459D1-4785-4A64-9A16-05ABE80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7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D79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C8311D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5D79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11D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311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qFormat/>
    <w:rsid w:val="00C8311D"/>
    <w:rPr>
      <w:b/>
      <w:bCs/>
    </w:rPr>
  </w:style>
  <w:style w:type="character" w:styleId="Hyperlink">
    <w:name w:val="Hyperlink"/>
    <w:basedOn w:val="DefaultParagraphFont"/>
    <w:uiPriority w:val="99"/>
    <w:rsid w:val="00C8311D"/>
    <w:rPr>
      <w:color w:val="0000FF"/>
      <w:u w:val="single"/>
    </w:rPr>
  </w:style>
  <w:style w:type="character" w:styleId="FollowedHyperlink">
    <w:name w:val="FollowedHyperlink"/>
    <w:basedOn w:val="DefaultParagraphFont"/>
    <w:rsid w:val="00307847"/>
    <w:rPr>
      <w:color w:val="800080"/>
      <w:u w:val="single"/>
    </w:rPr>
  </w:style>
  <w:style w:type="character" w:customStyle="1" w:styleId="searchurl">
    <w:name w:val="searchurl"/>
    <w:basedOn w:val="DefaultParagraphFont"/>
    <w:rsid w:val="00B23E03"/>
  </w:style>
  <w:style w:type="paragraph" w:styleId="Header">
    <w:name w:val="header"/>
    <w:basedOn w:val="Normal"/>
    <w:rsid w:val="00DF14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F1412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sid w:val="00BF6E85"/>
    <w:rPr>
      <w:i/>
      <w:iCs/>
    </w:rPr>
  </w:style>
  <w:style w:type="character" w:styleId="PageNumber">
    <w:name w:val="page number"/>
    <w:basedOn w:val="DefaultParagraphFont"/>
    <w:rsid w:val="00AC5066"/>
  </w:style>
  <w:style w:type="table" w:styleId="TableGrid">
    <w:name w:val="Table Grid"/>
    <w:basedOn w:val="TableNormal"/>
    <w:uiPriority w:val="59"/>
    <w:rsid w:val="005E2C5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11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1CAC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B4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98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5901"/>
    <w:rPr>
      <w:sz w:val="24"/>
      <w:szCs w:val="24"/>
      <w:lang w:eastAsia="en-US"/>
    </w:rPr>
  </w:style>
  <w:style w:type="table" w:styleId="GridTable1Light">
    <w:name w:val="Grid Table 1 Light"/>
    <w:basedOn w:val="TableNormal"/>
    <w:uiPriority w:val="46"/>
    <w:rsid w:val="007072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072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6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ngor.ac.uk/ar/main/fees/index.ph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dentloans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ngor.ac.uk/ar/main/admissions/documents/ApplyingforUSFederalLoans_v6May_2016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tudentloans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healthcare-immigration-application/how-much-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991716-c91d-47d5-8ce0-26456f2b7329">
      <Terms xmlns="http://schemas.microsoft.com/office/infopath/2007/PartnerControls"/>
    </lcf76f155ced4ddcb4097134ff3c332f>
    <TaxCatchAll xmlns="564b04ba-8c53-41ce-803c-cda8b23d6d5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C9A8F0AB24E40B3704BBA654E1B6D" ma:contentTypeVersion="14" ma:contentTypeDescription="Create a new document." ma:contentTypeScope="" ma:versionID="0cc458870dd24f6e5eb13f8aa8c5df2a">
  <xsd:schema xmlns:xsd="http://www.w3.org/2001/XMLSchema" xmlns:xs="http://www.w3.org/2001/XMLSchema" xmlns:p="http://schemas.microsoft.com/office/2006/metadata/properties" xmlns:ns2="9d991716-c91d-47d5-8ce0-26456f2b7329" xmlns:ns3="564b04ba-8c53-41ce-803c-cda8b23d6d57" targetNamespace="http://schemas.microsoft.com/office/2006/metadata/properties" ma:root="true" ma:fieldsID="1dd4f0130bc60bf37bb26a9293c57711" ns2:_="" ns3:_="">
    <xsd:import namespace="9d991716-c91d-47d5-8ce0-26456f2b7329"/>
    <xsd:import namespace="564b04ba-8c53-41ce-803c-cda8b23d6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91716-c91d-47d5-8ce0-26456f2b7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b04ba-8c53-41ce-803c-cda8b23d6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5c15cf-f055-4a77-b526-ce430f47cb86}" ma:internalName="TaxCatchAll" ma:showField="CatchAllData" ma:web="564b04ba-8c53-41ce-803c-cda8b23d6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FD32F-4DC8-4CA7-83A6-DAA8257D8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BC945-2E43-4C9B-92C5-02C73766C0E7}">
  <ds:schemaRefs>
    <ds:schemaRef ds:uri="http://schemas.microsoft.com/office/2006/metadata/properties"/>
    <ds:schemaRef ds:uri="http://schemas.microsoft.com/office/infopath/2007/PartnerControls"/>
    <ds:schemaRef ds:uri="9d991716-c91d-47d5-8ce0-26456f2b7329"/>
    <ds:schemaRef ds:uri="564b04ba-8c53-41ce-803c-cda8b23d6d57"/>
  </ds:schemaRefs>
</ds:datastoreItem>
</file>

<file path=customXml/itemProps3.xml><?xml version="1.0" encoding="utf-8"?>
<ds:datastoreItem xmlns:ds="http://schemas.openxmlformats.org/officeDocument/2006/customXml" ds:itemID="{AE9687A2-D57B-4C70-9AC9-FBFBC83787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16F983-2B19-4495-B62F-98BB154A8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91716-c91d-47d5-8ce0-26456f2b7329"/>
    <ds:schemaRef ds:uri="564b04ba-8c53-41ce-803c-cda8b23d6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5356</Characters>
  <Application>Microsoft Office Word</Application>
  <DocSecurity>0</DocSecurity>
  <Lines>44</Lines>
  <Paragraphs>12</Paragraphs>
  <ScaleCrop>false</ScaleCrop>
  <Company>University of Manchester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Completing the Stafford Loan Process at The University of Manchester, UK</dc:title>
  <dc:creator>RSD Admin Support Staff</dc:creator>
  <cp:lastModifiedBy>Gwenno Gwilym (Staff)</cp:lastModifiedBy>
  <cp:revision>3</cp:revision>
  <cp:lastPrinted>2015-09-04T11:04:00Z</cp:lastPrinted>
  <dcterms:created xsi:type="dcterms:W3CDTF">2023-05-05T11:30:00Z</dcterms:created>
  <dcterms:modified xsi:type="dcterms:W3CDTF">2023-05-05T13:40:00Z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0x010100C07C9A8F0AB24E40B3704BBA654E1B6D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